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C3B2" w14:textId="139CF5C0" w:rsidR="00DD380E" w:rsidRPr="009A685D" w:rsidRDefault="00ED7F43" w:rsidP="009A6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43">
        <w:rPr>
          <w:rFonts w:ascii="Times New Roman" w:hAnsi="Times New Roman" w:cs="Times New Roman"/>
          <w:b/>
          <w:bCs/>
          <w:sz w:val="28"/>
          <w:szCs w:val="28"/>
        </w:rPr>
        <w:t>Dil Öğrenim/Hazırlık Merkezleri Değerlendirme Formu</w:t>
      </w:r>
    </w:p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346939" w:rsidRPr="00797297" w14:paraId="15E6464C" w14:textId="77777777" w:rsidTr="006D5F0A">
        <w:tc>
          <w:tcPr>
            <w:tcW w:w="13994" w:type="dxa"/>
            <w:gridSpan w:val="3"/>
            <w:shd w:val="clear" w:color="auto" w:fill="17889B"/>
          </w:tcPr>
          <w:p w14:paraId="099E3866" w14:textId="77777777" w:rsidR="00346939" w:rsidRPr="00797297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1. Misyon</w:t>
            </w:r>
          </w:p>
        </w:tc>
      </w:tr>
      <w:tr w:rsidR="00346939" w:rsidRPr="00797297" w14:paraId="754ABC6D" w14:textId="77777777" w:rsidTr="006D5F0A">
        <w:tc>
          <w:tcPr>
            <w:tcW w:w="13994" w:type="dxa"/>
            <w:gridSpan w:val="3"/>
            <w:shd w:val="clear" w:color="auto" w:fill="A2FEFF"/>
          </w:tcPr>
          <w:p w14:paraId="3E238FA7" w14:textId="6A5A0338" w:rsidR="00346939" w:rsidRPr="009876C2" w:rsidRDefault="00346939" w:rsidP="008F59ED">
            <w:pPr>
              <w:pStyle w:val="ListeParagraf"/>
              <w:numPr>
                <w:ilvl w:val="1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Kurumsal misyon belgesi</w:t>
            </w:r>
          </w:p>
        </w:tc>
      </w:tr>
      <w:tr w:rsidR="00346939" w:rsidRPr="00797297" w14:paraId="4DCE9F09" w14:textId="77777777" w:rsidTr="006D5F0A">
        <w:tc>
          <w:tcPr>
            <w:tcW w:w="4664" w:type="dxa"/>
            <w:shd w:val="clear" w:color="auto" w:fill="D6FDFF"/>
          </w:tcPr>
          <w:p w14:paraId="4BE77A19" w14:textId="77777777" w:rsidR="00346939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 Maddesi</w:t>
            </w:r>
          </w:p>
        </w:tc>
        <w:tc>
          <w:tcPr>
            <w:tcW w:w="4664" w:type="dxa"/>
            <w:shd w:val="clear" w:color="auto" w:fill="D6FDFF"/>
          </w:tcPr>
          <w:p w14:paraId="0A43F809" w14:textId="77777777" w:rsidR="00346939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C8F3AC6" w14:textId="1FC7073B" w:rsidR="00346939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Puanlama </w:t>
            </w:r>
          </w:p>
        </w:tc>
      </w:tr>
      <w:tr w:rsidR="00346939" w:rsidRPr="00797297" w14:paraId="38B87C4F" w14:textId="77777777" w:rsidTr="006D5F0A">
        <w:trPr>
          <w:trHeight w:val="2129"/>
        </w:trPr>
        <w:tc>
          <w:tcPr>
            <w:tcW w:w="4664" w:type="dxa"/>
            <w:vAlign w:val="center"/>
          </w:tcPr>
          <w:p w14:paraId="0AB805B2" w14:textId="77777777" w:rsidR="00346939" w:rsidRPr="00532FF2" w:rsidRDefault="00346939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Merkez/birim; işleyişini, politikalarını ve kaynakların kullanımını ortaya koyan kurumsal bir misyona sahiptir.</w:t>
            </w:r>
          </w:p>
        </w:tc>
        <w:tc>
          <w:tcPr>
            <w:tcW w:w="4664" w:type="dxa"/>
            <w:vAlign w:val="center"/>
          </w:tcPr>
          <w:p w14:paraId="55117E1D" w14:textId="6007F6EB" w:rsidR="00346939" w:rsidRPr="00532FF2" w:rsidRDefault="00346939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Merkez/birim tarafından yayımlanan kurumsal misyon belgesi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7E2B295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A5EA2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B8E16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4FFE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77A5C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3EE1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35055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BFC7C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499E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34202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66EE8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EE9F2D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70856" w14:textId="099E99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  <w:r w:rsidR="005F3E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EA7B55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0E37" w14:textId="77777777" w:rsidR="00346939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01453" w14:textId="766593A2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ABDA1" w14:textId="078C8073" w:rsidR="00346939" w:rsidRDefault="00346939">
      <w:pPr>
        <w:rPr>
          <w:rFonts w:ascii="Times New Roman" w:hAnsi="Times New Roman" w:cs="Times New Roman"/>
          <w:sz w:val="21"/>
          <w:szCs w:val="21"/>
        </w:rPr>
      </w:pPr>
      <w:r w:rsidRPr="00346939">
        <w:rPr>
          <w:rFonts w:ascii="Times New Roman" w:hAnsi="Times New Roman" w:cs="Times New Roman"/>
          <w:sz w:val="21"/>
          <w:szCs w:val="21"/>
        </w:rPr>
        <w:t>*</w:t>
      </w:r>
      <w:r w:rsidRPr="005F3EF5">
        <w:rPr>
          <w:rFonts w:ascii="Times New Roman" w:hAnsi="Times New Roman" w:cs="Times New Roman"/>
          <w:i/>
          <w:iCs/>
          <w:sz w:val="21"/>
          <w:szCs w:val="21"/>
        </w:rPr>
        <w:t>Formda yer alan açıklama kısmı gerek duyulan durumlarda doldurulur.</w:t>
      </w:r>
      <w:r w:rsidRPr="0034693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77AB57" w14:textId="77777777" w:rsidR="009A685D" w:rsidRPr="00346939" w:rsidRDefault="009A685D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4CE4BD02" w14:textId="77777777" w:rsidTr="006D5F0A">
        <w:tc>
          <w:tcPr>
            <w:tcW w:w="13994" w:type="dxa"/>
            <w:gridSpan w:val="3"/>
            <w:shd w:val="clear" w:color="auto" w:fill="17889B"/>
          </w:tcPr>
          <w:p w14:paraId="739C43DF" w14:textId="20DC0FBA" w:rsidR="00532FF2" w:rsidRPr="00F969F6" w:rsidRDefault="00532FF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532FF2" w:rsidRPr="00797297" w14:paraId="22C05598" w14:textId="77777777" w:rsidTr="006D5F0A">
        <w:tc>
          <w:tcPr>
            <w:tcW w:w="13994" w:type="dxa"/>
            <w:gridSpan w:val="3"/>
            <w:shd w:val="clear" w:color="auto" w:fill="A2FEFF"/>
          </w:tcPr>
          <w:p w14:paraId="7E33C2AD" w14:textId="5EFC701E" w:rsidR="00532FF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2.1. </w:t>
            </w:r>
            <w:r w:rsidR="00532FF2" w:rsidRPr="00532F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yapı</w:t>
            </w:r>
          </w:p>
        </w:tc>
      </w:tr>
      <w:tr w:rsidR="00532FF2" w:rsidRPr="00797297" w14:paraId="3ACD4E05" w14:textId="77777777" w:rsidTr="006D5F0A">
        <w:tc>
          <w:tcPr>
            <w:tcW w:w="4664" w:type="dxa"/>
            <w:shd w:val="clear" w:color="auto" w:fill="D6FDFF"/>
          </w:tcPr>
          <w:p w14:paraId="737C689D" w14:textId="49B7FAC9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ED7F4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</w:t>
            </w:r>
            <w:r w:rsidR="008C5F09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esi</w:t>
            </w:r>
          </w:p>
        </w:tc>
        <w:tc>
          <w:tcPr>
            <w:tcW w:w="4664" w:type="dxa"/>
            <w:shd w:val="clear" w:color="auto" w:fill="D6FDFF"/>
          </w:tcPr>
          <w:p w14:paraId="06C63458" w14:textId="5C7B136E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7CD2B742" w14:textId="35C4D739" w:rsidR="00532FF2" w:rsidRPr="00F969F6" w:rsidRDefault="00346939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3B2D0104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7136F6FF" w14:textId="77520BF7" w:rsidR="00532FF2" w:rsidRPr="0014212C" w:rsidRDefault="00532FF2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ulusal mevzuata uygun olarak kurulmuştur ve faaliyetlerini buna uygun biçimde gerçekleştirmektedir. </w:t>
            </w:r>
          </w:p>
        </w:tc>
        <w:tc>
          <w:tcPr>
            <w:tcW w:w="4664" w:type="dxa"/>
            <w:vAlign w:val="center"/>
          </w:tcPr>
          <w:p w14:paraId="66C94E4A" w14:textId="1582C9B1" w:rsidR="00532FF2" w:rsidRPr="00532FF2" w:rsidRDefault="00532FF2" w:rsidP="00094B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2"/>
            <w:bookmarkStart w:id="1" w:name="OLE_LINK3"/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a. Merkezin/birimin</w:t>
            </w:r>
            <w:bookmarkEnd w:id="0"/>
            <w:bookmarkEnd w:id="1"/>
            <w:r w:rsidRPr="00532FF2">
              <w:rPr>
                <w:rFonts w:ascii="Times New Roman" w:hAnsi="Times New Roman" w:cs="Times New Roman"/>
                <w:sz w:val="20"/>
                <w:szCs w:val="20"/>
              </w:rPr>
              <w:t xml:space="preserve"> kuruluş yönetmeliği ve ilgili diğer belgeler</w:t>
            </w:r>
          </w:p>
          <w:p w14:paraId="3317D3ED" w14:textId="77777777" w:rsidR="00532FF2" w:rsidRDefault="00532FF2" w:rsidP="0009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b. Merkezin/birimin akademik personeli ile belirli aralıklarla yapılan toplantılar ve tutanakları</w:t>
            </w:r>
          </w:p>
          <w:p w14:paraId="16324911" w14:textId="5235A676" w:rsidR="00DF10E3" w:rsidRPr="00532FF2" w:rsidRDefault="00DF10E3" w:rsidP="0009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Merkezin/birimin yürüttüğü iş ve işlemlerde ana mevzuat, yönetmelik ve yönergelerle tutarlılığını gösteren belgeler (görevlendirme, kurs açma, yönetim kurulu kararları, ödemeler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1E53E25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CACB6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8D8F5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63E67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302D62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EDD63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E2C5E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73904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18043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0B5378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31F46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28DD90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A9A62" w14:textId="19F0DD8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591831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6D8F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9DDC1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7ABAAD32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1C6654EA" w14:textId="09A239D4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Y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önetim ve organizasyon yapısı, merkezin/birimin misyonuyla uyumludur ve misyonda belirtilen hedeflere ulaşmayı destekler. </w:t>
            </w:r>
          </w:p>
        </w:tc>
        <w:tc>
          <w:tcPr>
            <w:tcW w:w="4664" w:type="dxa"/>
            <w:vAlign w:val="center"/>
          </w:tcPr>
          <w:p w14:paraId="1CD4633C" w14:textId="33EE9AD5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bünyesinde ihdas edilen alt birimlerle ilgili resmî yazılar ve raporlar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65732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EEB0A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9F111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29B5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B339C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5F7AA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9577C3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44B6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31CFD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A36A22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CF837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3FF48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9C68E" w14:textId="5683D0D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4D6311B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FF7C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FC08D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D0DD8DA" w14:textId="77777777" w:rsidTr="006D5F0A">
        <w:trPr>
          <w:trHeight w:val="825"/>
        </w:trPr>
        <w:tc>
          <w:tcPr>
            <w:tcW w:w="4664" w:type="dxa"/>
            <w:vAlign w:val="center"/>
          </w:tcPr>
          <w:p w14:paraId="02153D64" w14:textId="2029FBE7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3.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Eğitime ilişkin gelişmeleri, merkezin/birimin misyonuna ve sunduğu öğrenme-öğretme faaliyetlerine yansıtan stratejik bir yönetim yaklaşımı vardır. </w:t>
            </w:r>
          </w:p>
        </w:tc>
        <w:tc>
          <w:tcPr>
            <w:tcW w:w="4664" w:type="dxa"/>
            <w:vAlign w:val="center"/>
          </w:tcPr>
          <w:p w14:paraId="03E0D955" w14:textId="63B6B5A5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Yönetime ilişkin görev dağılımları ile iş ve işlemlerin akışını gösteren prosedürler/belgeler</w:t>
            </w:r>
            <w:r w:rsidR="00460103">
              <w:rPr>
                <w:rFonts w:ascii="Times New Roman" w:hAnsi="Times New Roman" w:cs="Times New Roman"/>
                <w:sz w:val="20"/>
                <w:szCs w:val="20"/>
              </w:rPr>
              <w:t>, teşkilat şeması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BF50DFE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83FAC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DD857D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FAE58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E7D63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B6A78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E9611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E1A87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ACD4C2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EEA0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D8680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326CB6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6DBB4" w14:textId="3A0114B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3770B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1829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E479A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8069939" w14:textId="77777777" w:rsidTr="006D5F0A">
        <w:tc>
          <w:tcPr>
            <w:tcW w:w="4664" w:type="dxa"/>
            <w:vAlign w:val="center"/>
          </w:tcPr>
          <w:p w14:paraId="6F60BF39" w14:textId="3CAACE30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Merkezin/birimin faaliyetlerini destekleyen etkili idari yapılar vardır. İş ve işlemler için süreç tanımlamalarını içeren prosedürler mevcuttur. </w:t>
            </w:r>
          </w:p>
        </w:tc>
        <w:tc>
          <w:tcPr>
            <w:tcW w:w="4664" w:type="dxa"/>
            <w:vAlign w:val="center"/>
          </w:tcPr>
          <w:p w14:paraId="6D94F27A" w14:textId="0CCB6F2A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yapısına ve işleyişine ilişkin resmî belge</w:t>
            </w:r>
            <w:r w:rsidR="00DF10E3">
              <w:rPr>
                <w:rFonts w:ascii="Times New Roman" w:hAnsi="Times New Roman" w:cs="Times New Roman"/>
                <w:sz w:val="20"/>
                <w:szCs w:val="20"/>
              </w:rPr>
              <w:t xml:space="preserve">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3B7334A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FE7ED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9FDB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BCD8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1DA76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F76F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36A7FE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7BAD6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5BE35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D1484A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73267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637848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44FC4" w14:textId="57CEF7B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3D4DD6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286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2D6E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044F8" w14:textId="77777777" w:rsidR="00346939" w:rsidRDefault="00346939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576D1596" w14:textId="77777777" w:rsidTr="006D5F0A">
        <w:tc>
          <w:tcPr>
            <w:tcW w:w="13994" w:type="dxa"/>
            <w:gridSpan w:val="3"/>
            <w:shd w:val="clear" w:color="auto" w:fill="17889B"/>
          </w:tcPr>
          <w:p w14:paraId="1FB3FFE7" w14:textId="77777777" w:rsidR="00532FF2" w:rsidRPr="00F969F6" w:rsidRDefault="00532FF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532FF2" w:rsidRPr="00797297" w14:paraId="0F033EBE" w14:textId="77777777" w:rsidTr="006D5F0A">
        <w:trPr>
          <w:trHeight w:val="339"/>
        </w:trPr>
        <w:tc>
          <w:tcPr>
            <w:tcW w:w="13994" w:type="dxa"/>
            <w:gridSpan w:val="3"/>
            <w:shd w:val="clear" w:color="auto" w:fill="A2FEFF"/>
          </w:tcPr>
          <w:p w14:paraId="0EE1FF13" w14:textId="3B1480BA" w:rsidR="00532FF2" w:rsidRPr="00532FF2" w:rsidRDefault="009876C2" w:rsidP="0053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2.2. </w:t>
            </w:r>
            <w:r w:rsidR="00532FF2" w:rsidRPr="00532F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Görev, sorumluluk ve haklar ile ilgili bilgilendirme</w:t>
            </w:r>
          </w:p>
        </w:tc>
      </w:tr>
      <w:tr w:rsidR="00532FF2" w:rsidRPr="00797297" w14:paraId="676660C0" w14:textId="77777777" w:rsidTr="006D5F0A">
        <w:tc>
          <w:tcPr>
            <w:tcW w:w="4664" w:type="dxa"/>
            <w:shd w:val="clear" w:color="auto" w:fill="D6FDFF"/>
          </w:tcPr>
          <w:p w14:paraId="47F6EA0E" w14:textId="0841994E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12344C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67DF5BF" w14:textId="6F7EB666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0949985A" w14:textId="5F4CED8C" w:rsidR="00532FF2" w:rsidRPr="00F969F6" w:rsidRDefault="00346939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0F4CBC42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0FBDE040" w14:textId="4D3215A6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yöneticiler ve öğretim elemanlarının görev ve sorumluluklarını yazılı olarak ortaya koyan; zamanında, adil, sistematik ve etik biçimde yerine getirmelerini sağlayan güncel ve erişilebilir bir iş tanımına sahiptir. </w:t>
            </w:r>
          </w:p>
        </w:tc>
        <w:tc>
          <w:tcPr>
            <w:tcW w:w="4664" w:type="dxa"/>
            <w:vAlign w:val="center"/>
          </w:tcPr>
          <w:p w14:paraId="6A25C516" w14:textId="50C72833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yöneticilerinin, öğretim elemanlarının ve idari personelin görev tanımları</w:t>
            </w:r>
            <w:r w:rsidR="00DF10E3">
              <w:rPr>
                <w:rFonts w:ascii="Times New Roman" w:hAnsi="Times New Roman" w:cs="Times New Roman"/>
                <w:sz w:val="20"/>
                <w:szCs w:val="20"/>
              </w:rPr>
              <w:t>nı gösterir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057BDBA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D001F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8CC35D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D398A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380B9A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C5F73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4DD8B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461C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6CD15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4BE04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8BF5C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116443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3BBEF" w14:textId="4CEA691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78DA46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CD2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D601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040B6FA8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0DDEE5EE" w14:textId="4D0BB200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2.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elemanları, işe alım sırasında veya sonrasında çalışma koşulları değiştiğinde yazılı olarak bilgilendirilir.</w:t>
            </w:r>
          </w:p>
        </w:tc>
        <w:tc>
          <w:tcPr>
            <w:tcW w:w="4664" w:type="dxa"/>
            <w:vAlign w:val="center"/>
          </w:tcPr>
          <w:p w14:paraId="76616D57" w14:textId="65C7FB6F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Değişen koşullarla ilgili personelin bilgilendirilmesine ve yönlendirilmesine ilişkin resmî yazışma ve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589FCB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D3B83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F3BE3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8CEC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5AB6D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23EC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83F76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5ACD9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31F00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6E5A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F9DD8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9B070E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88D95" w14:textId="2CE449A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48C7F6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A38F" w14:textId="77777777" w:rsidR="00346939" w:rsidRPr="00532FF2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63B7E2E9" w14:textId="77777777" w:rsidTr="006D5F0A">
        <w:trPr>
          <w:trHeight w:val="825"/>
        </w:trPr>
        <w:tc>
          <w:tcPr>
            <w:tcW w:w="4664" w:type="dxa"/>
            <w:vAlign w:val="center"/>
          </w:tcPr>
          <w:p w14:paraId="45C7372E" w14:textId="50F1BBBE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532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Merkezin/birimin tüm çalışanları, ulusal ve kurumsal mevzuata ve ihtiyaçlara uygun, adil çalışma koşullarına sahiptir. </w:t>
            </w:r>
          </w:p>
        </w:tc>
        <w:tc>
          <w:tcPr>
            <w:tcW w:w="4664" w:type="dxa"/>
            <w:vAlign w:val="center"/>
          </w:tcPr>
          <w:p w14:paraId="43BB3C96" w14:textId="4405C0AB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Ders ve görev dağılım çizelgeleri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56109B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0D60F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2135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0D5B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37CBA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3157C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A4B3E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B1F2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CB235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BB77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1E410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6BE091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FBB3C" w14:textId="553D549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06E944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265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02714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6BBBD8C" w14:textId="77777777" w:rsidTr="006D5F0A">
        <w:tc>
          <w:tcPr>
            <w:tcW w:w="4664" w:type="dxa"/>
            <w:vAlign w:val="center"/>
          </w:tcPr>
          <w:p w14:paraId="2088EAC6" w14:textId="54986212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Merkez/birim; yöneticiler, öğretim elemanları ve diğer personel için gereken mesleki gelişim faaliyetlerini tanımlar, destekler ve teşvik eder.</w:t>
            </w:r>
          </w:p>
        </w:tc>
        <w:tc>
          <w:tcPr>
            <w:tcW w:w="4664" w:type="dxa"/>
            <w:vAlign w:val="center"/>
          </w:tcPr>
          <w:p w14:paraId="7EE46A83" w14:textId="2BBD36D1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Hizmet içi eğitim faaliyetlerine ilişkin kanıtlayıcı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6E969EE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D2349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DBF8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58B1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0A81E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9559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88ACA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F7E98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6A876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D75F1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C6918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391BA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838C" w14:textId="5C9EDAD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A8664C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7BFB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1E8D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72A4DBBC" w14:textId="77777777" w:rsidTr="006D5F0A">
        <w:tc>
          <w:tcPr>
            <w:tcW w:w="4664" w:type="dxa"/>
            <w:vAlign w:val="center"/>
          </w:tcPr>
          <w:p w14:paraId="1B7952F7" w14:textId="1B0A879E" w:rsid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 yönetimi, merkezin/birimin hedeflerine ulaşması için çalışanlarla iletişim ve istişare kültürüne sahiptir. Kurum içi iş birliğini geliştiren olumlu ilişkileri teşvik eder. </w:t>
            </w:r>
          </w:p>
        </w:tc>
        <w:tc>
          <w:tcPr>
            <w:tcW w:w="4664" w:type="dxa"/>
            <w:vAlign w:val="center"/>
          </w:tcPr>
          <w:p w14:paraId="47AAD2DE" w14:textId="77777777" w:rsidR="00532FF2" w:rsidRPr="00532FF2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Akademik ve idari personel ile yapılan toplantı tutanakları ve değerlendirme raporları</w:t>
            </w:r>
          </w:p>
          <w:p w14:paraId="18709E82" w14:textId="77777777" w:rsidR="00532FF2" w:rsidRPr="00532FF2" w:rsidRDefault="00532FF2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DF0BFC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4D7D7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76786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9F1D6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3821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5FB7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F0955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4201C9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EF63B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558B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7D553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7F9CED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10BFD" w14:textId="6C2B851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2B5A2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09CA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8D5C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092CB05B" w14:textId="77777777" w:rsidTr="006D5F0A">
        <w:tc>
          <w:tcPr>
            <w:tcW w:w="4664" w:type="dxa"/>
            <w:vAlign w:val="center"/>
          </w:tcPr>
          <w:p w14:paraId="31295D43" w14:textId="34583C34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 yönetimi ile öğrenciler ve diğer paydaşlar arasında iletişim ve istişare kültürü vardır. </w:t>
            </w:r>
          </w:p>
        </w:tc>
        <w:tc>
          <w:tcPr>
            <w:tcW w:w="4664" w:type="dxa"/>
            <w:vAlign w:val="center"/>
          </w:tcPr>
          <w:p w14:paraId="1AEBAE4E" w14:textId="23CC0AC9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 xml:space="preserve">Öğrencilerle ve paydaşlarla yapılan toplantı tutanakları </w:t>
            </w:r>
            <w:r w:rsidR="0012344C">
              <w:rPr>
                <w:rFonts w:ascii="Times New Roman" w:hAnsi="Times New Roman" w:cs="Times New Roman"/>
                <w:sz w:val="20"/>
                <w:szCs w:val="20"/>
              </w:rPr>
              <w:t>ve diğer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F3BB16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FC8519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2EF8EE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B4B48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232FD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3280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17A24D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5E35B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E33E4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7C989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9ADE51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01084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80B6E" w14:textId="1BC83F2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96B4F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E16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AAD71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13AFFE92" w14:textId="77777777" w:rsidTr="006D5F0A">
        <w:tc>
          <w:tcPr>
            <w:tcW w:w="4664" w:type="dxa"/>
            <w:vAlign w:val="center"/>
          </w:tcPr>
          <w:p w14:paraId="4032FFE6" w14:textId="1F45826F" w:rsid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7. </w:t>
            </w:r>
            <w:r w:rsidRPr="00532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Şikâyet, talep ve disiplin prosedürleri bulunmaktadır ve hem öğrenciler hem de personel tarafından bilinir.</w:t>
            </w:r>
          </w:p>
        </w:tc>
        <w:tc>
          <w:tcPr>
            <w:tcW w:w="4664" w:type="dxa"/>
            <w:vAlign w:val="center"/>
          </w:tcPr>
          <w:p w14:paraId="7F8FF421" w14:textId="6F0862DE" w:rsidR="00532FF2" w:rsidRPr="00532FF2" w:rsidRDefault="00E35005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Merkezin/birimin genel ağ sayfasında yayımlanmış ş</w:t>
            </w:r>
            <w:r w:rsidR="00532FF2" w:rsidRPr="00532FF2">
              <w:rPr>
                <w:rFonts w:ascii="Times New Roman" w:hAnsi="Times New Roman" w:cs="Times New Roman"/>
                <w:sz w:val="20"/>
                <w:szCs w:val="20"/>
              </w:rPr>
              <w:t>ikâyet, talep ve disiplinle ilgili iş ve işlemleri gösteren resmî yönerge ve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012DA6B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97082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C4AA6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6D382E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B5270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4A828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222CE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C4FA7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6E8E8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019A3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2A3C6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522BC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6B3F5" w14:textId="4F3E156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C12941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8EDB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588DA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34127E9B" w14:textId="77777777" w:rsidTr="006D5F0A">
        <w:tc>
          <w:tcPr>
            <w:tcW w:w="4664" w:type="dxa"/>
            <w:vAlign w:val="center"/>
          </w:tcPr>
          <w:p w14:paraId="238FA67F" w14:textId="686F280E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Sözleşmeli personel için sözleşme örneği mevcuttur.</w:t>
            </w:r>
          </w:p>
        </w:tc>
        <w:tc>
          <w:tcPr>
            <w:tcW w:w="4664" w:type="dxa"/>
            <w:vAlign w:val="center"/>
          </w:tcPr>
          <w:p w14:paraId="58F3185F" w14:textId="65C679D0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Sözleşmeli personel için hazırlanan sözleşme örneği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6E77F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3ED01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64F25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54EF8D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1AD11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94441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E055EF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F198C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225DD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1BB9D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585CF4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DFC308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E1B3B" w14:textId="1694383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C79A2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9B5B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AE43C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DF66483" w14:textId="77777777" w:rsidTr="006D5F0A">
        <w:tc>
          <w:tcPr>
            <w:tcW w:w="4664" w:type="dxa"/>
            <w:vAlign w:val="center"/>
          </w:tcPr>
          <w:p w14:paraId="34F0C883" w14:textId="6BB06066" w:rsidR="00532FF2" w:rsidRDefault="00532FF2" w:rsidP="00346939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9.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Yasal değişmelerin olması durumunda çalışanların bilgilendirilmesini sağlayan kurum içi iletişim mekanizmaları bulunmaktadır.  </w:t>
            </w:r>
          </w:p>
        </w:tc>
        <w:tc>
          <w:tcPr>
            <w:tcW w:w="4664" w:type="dxa"/>
            <w:vAlign w:val="center"/>
          </w:tcPr>
          <w:p w14:paraId="14492A1A" w14:textId="0A3C14A1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Personel ile ilgili yasal değişikliklerin anında duyurulmasına yönelik prosedür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88E9EF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1C56AA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D994A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CD2D00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E8355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F7C17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6A48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00883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19A95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27292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06BF47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275883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1353" w14:textId="3053B6B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EAD283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FE3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0D91F" w14:textId="77777777" w:rsidR="00346939" w:rsidRPr="00532FF2" w:rsidRDefault="0034693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70E2A7" w14:textId="77777777" w:rsidR="00532FF2" w:rsidRDefault="00532FF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4C2241F4" w14:textId="77777777" w:rsidTr="006D5F0A">
        <w:tc>
          <w:tcPr>
            <w:tcW w:w="13994" w:type="dxa"/>
            <w:gridSpan w:val="3"/>
            <w:shd w:val="clear" w:color="auto" w:fill="17889B"/>
          </w:tcPr>
          <w:p w14:paraId="490E7EC6" w14:textId="77777777" w:rsidR="00532FF2" w:rsidRPr="00F969F6" w:rsidRDefault="00532FF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532FF2" w:rsidRPr="00797297" w14:paraId="61A54BDF" w14:textId="77777777" w:rsidTr="006D5F0A">
        <w:tc>
          <w:tcPr>
            <w:tcW w:w="13994" w:type="dxa"/>
            <w:gridSpan w:val="3"/>
            <w:shd w:val="clear" w:color="auto" w:fill="A2FEFF"/>
          </w:tcPr>
          <w:p w14:paraId="5949072E" w14:textId="08F599C9" w:rsidR="00532FF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2.3. </w:t>
            </w:r>
            <w:r w:rsidR="00532F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Performans değerlendirme</w:t>
            </w:r>
          </w:p>
        </w:tc>
      </w:tr>
      <w:tr w:rsidR="00532FF2" w:rsidRPr="00797297" w14:paraId="60B6C4B6" w14:textId="77777777" w:rsidTr="006D5F0A">
        <w:tc>
          <w:tcPr>
            <w:tcW w:w="4664" w:type="dxa"/>
            <w:shd w:val="clear" w:color="auto" w:fill="D6FDFF"/>
          </w:tcPr>
          <w:p w14:paraId="11E2C457" w14:textId="3C2FE730" w:rsidR="00532FF2" w:rsidRPr="00F969F6" w:rsidRDefault="00532FF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4392FB1F" w14:textId="587C8979" w:rsidR="00532FF2" w:rsidRPr="00F969F6" w:rsidRDefault="00532FF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78B8B2F8" w14:textId="69659A77" w:rsidR="00532FF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4D31A672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079E2F2A" w14:textId="4334FBE5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değerlendirmeye yönelik performans ölçütleri ve prosedürleri net bir şekilde yazılı olarak açıklar. Belirli aralıklarla, adil ve objektif biçimde program veya kurumsal hedeflere ulaşmakla ilgili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performans değerlendirmeleri yapar ve sonuçları yazılı olarak açıklar.</w:t>
            </w:r>
          </w:p>
        </w:tc>
        <w:tc>
          <w:tcPr>
            <w:tcW w:w="4664" w:type="dxa"/>
            <w:vAlign w:val="center"/>
          </w:tcPr>
          <w:p w14:paraId="776E7A91" w14:textId="77777777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Merkez/birim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tarafından belirlenen performans göstergeleri ve bunlara ilişkin değerlendirme raporları</w:t>
            </w:r>
          </w:p>
          <w:p w14:paraId="6FF83F44" w14:textId="77777777" w:rsid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51F8833" w14:textId="3DF025D4" w:rsidR="00532FF2" w:rsidRPr="0014212C" w:rsidRDefault="00532FF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 Performans değerlendirmesi ile ilgili yönetim ve çalışanlarla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AFEBC7F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9E3BD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0DA10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C5011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C89C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33B0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10309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99FC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A7DFD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E6049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EEA3B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9923DB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64669" w14:textId="24140D6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AD7F51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8CA31" w14:textId="77777777" w:rsidR="00532FF2" w:rsidRPr="00532FF2" w:rsidRDefault="00532FF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3669AD5A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04CB4BCB" w14:textId="602D4174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2.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Merkezdeki/birimdeki düzenli ders takipleri ve paydaş değerlendirmelerinden elde edilen sonuçlar, kurumsal performansı artırmak amacıyla kullanılır.</w:t>
            </w:r>
          </w:p>
        </w:tc>
        <w:tc>
          <w:tcPr>
            <w:tcW w:w="4664" w:type="dxa"/>
            <w:vAlign w:val="center"/>
          </w:tcPr>
          <w:p w14:paraId="2F7BE0B3" w14:textId="40E7F87A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Kurum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içi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kurum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dışı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memnuniyet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anketlerinin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bunların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analiz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raporları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97311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9E1A5F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A869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E6B7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908F2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5B032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993A4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01A1C4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4BC044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FDA1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C17D6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843EE7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F34C7" w14:textId="18558676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53873F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7FD35" w14:textId="77777777" w:rsidR="00532FF2" w:rsidRPr="00532FF2" w:rsidRDefault="00532FF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97731" w14:textId="77777777" w:rsidR="00532FF2" w:rsidRDefault="00532FF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1C42DB6C" w14:textId="77777777" w:rsidTr="006D5F0A">
        <w:tc>
          <w:tcPr>
            <w:tcW w:w="13994" w:type="dxa"/>
            <w:gridSpan w:val="3"/>
            <w:shd w:val="clear" w:color="auto" w:fill="17889B"/>
          </w:tcPr>
          <w:p w14:paraId="4CA2CA97" w14:textId="7777777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651942" w:rsidRPr="00797297" w14:paraId="3364367E" w14:textId="77777777" w:rsidTr="006D5F0A">
        <w:tc>
          <w:tcPr>
            <w:tcW w:w="13994" w:type="dxa"/>
            <w:gridSpan w:val="3"/>
            <w:shd w:val="clear" w:color="auto" w:fill="A2FEFF"/>
          </w:tcPr>
          <w:p w14:paraId="4BE88C89" w14:textId="635CB14A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2.4.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Yönetimsel ve mali kapasite</w:t>
            </w:r>
          </w:p>
        </w:tc>
      </w:tr>
      <w:tr w:rsidR="00651942" w:rsidRPr="00797297" w14:paraId="3ADB6383" w14:textId="77777777" w:rsidTr="006D5F0A">
        <w:tc>
          <w:tcPr>
            <w:tcW w:w="4664" w:type="dxa"/>
            <w:shd w:val="clear" w:color="auto" w:fill="D6FDFF"/>
          </w:tcPr>
          <w:p w14:paraId="5F4186E6" w14:textId="20BD3C69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</w:t>
            </w:r>
            <w:r w:rsidR="000D0BC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664" w:type="dxa"/>
            <w:shd w:val="clear" w:color="auto" w:fill="D6FDFF"/>
          </w:tcPr>
          <w:p w14:paraId="6FE1174B" w14:textId="774D164E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29479993" w14:textId="05056819" w:rsidR="0065194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271F23CB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0D855A88" w14:textId="4C730A3B" w:rsidR="00651942" w:rsidRPr="00532FF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yabancı dil olarak Türkçe öğretimiyle ilişkili diğer kurum ve kuruluşlarla resm</w:t>
            </w:r>
            <w:r w:rsidR="00E27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î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bağlantılar kurmuştur ve bunu gerekçeleriyle açıklar. </w:t>
            </w:r>
          </w:p>
        </w:tc>
        <w:tc>
          <w:tcPr>
            <w:tcW w:w="4664" w:type="dxa"/>
            <w:vAlign w:val="center"/>
          </w:tcPr>
          <w:p w14:paraId="6DA49DCA" w14:textId="4DCBE5F2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Merkezin/birimin Türkçe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öğretimiyle ilgili diğer kurum ve kuruluşlarla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resm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bağlantılarına ilişkin protokoller, sözleşmeler ve iş birliğine yönelik belgelerin beyanı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EE263E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B7727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53152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3AA0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41A34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C641F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8138A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0AB88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FACDC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59D59E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08F27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E20371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F4055" w14:textId="31E77A8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83CCD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4DAF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672C3FD6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70ACE7D4" w14:textId="3057E3E8" w:rsidR="00651942" w:rsidRPr="00532FF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Merkezdeki/birimdeki yönetici ve personel pozisyonları yeterli sayıdadır ve yeterli eğitim, öğretim ve deneyime sahip bireylerden oluşur.</w:t>
            </w:r>
          </w:p>
        </w:tc>
        <w:tc>
          <w:tcPr>
            <w:tcW w:w="4664" w:type="dxa"/>
            <w:vAlign w:val="center"/>
          </w:tcPr>
          <w:p w14:paraId="37935FE9" w14:textId="7308F7A2" w:rsid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ve idari kadro yetkinlik tablosu (bkz. EK-3)</w:t>
            </w:r>
          </w:p>
          <w:p w14:paraId="13DB0903" w14:textId="125CF095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Merkezin/birimin öğrenci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istihdam edilen personel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>e ilişkin bilgileri ile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bunların güncel sayıları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839192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055B3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2D761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CED2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6B96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6E5D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F104B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F37B26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6C44AE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7B25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65439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85C3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269A5" w14:textId="6B1F7C1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8BB9E6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5723C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2FB834DC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593C715F" w14:textId="70EC3270" w:rsidR="0065194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 durum, program, öğrenci, personel ve sözleşme kayıtları; güncel, erişilebilir, eksiksiz ve güvenli olarak tutulur. Kayıtlar, etik ve yasalara uygun biçimde oluşturulur ve saklanır. </w:t>
            </w:r>
          </w:p>
        </w:tc>
        <w:tc>
          <w:tcPr>
            <w:tcW w:w="4664" w:type="dxa"/>
            <w:vAlign w:val="center"/>
          </w:tcPr>
          <w:p w14:paraId="6A3C2D35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.Gelir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-gider tablosu (öğrenci kayıtları, kitap satışı, sınav ücretleri vb. elde edilen gelirler)</w:t>
            </w:r>
          </w:p>
          <w:p w14:paraId="219F3D92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.Merkez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/birim içinde yapılan mali denetim belgeleri (iç denetim vb.)</w:t>
            </w:r>
          </w:p>
          <w:p w14:paraId="7ED630D6" w14:textId="3782DDAB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 Merkezin/birimin mali işlerinden sorumlu birim veya kişilerle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B43D0B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0B8CF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</w:t>
                  </w:r>
                </w:p>
                <w:p w14:paraId="5D0AB0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E1DD0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8C680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2CE7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FAD3D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414B2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91B11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E7DFE5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293CD9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3AB87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8717" w14:textId="3C6433A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1F9443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C6E16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468E7C11" w14:textId="77777777" w:rsidTr="006D5F0A">
        <w:trPr>
          <w:trHeight w:val="841"/>
        </w:trPr>
        <w:tc>
          <w:tcPr>
            <w:tcW w:w="4664" w:type="dxa"/>
            <w:vAlign w:val="center"/>
          </w:tcPr>
          <w:p w14:paraId="0B195FB8" w14:textId="4BAE186F" w:rsidR="0065194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4.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Merkez/birim; öğrencilere, personele ve sözleşmeli taraflara karşı yükümlülükleri yerine getirmek için yeterli mali kaynaklara sahiptir.</w:t>
            </w:r>
          </w:p>
        </w:tc>
        <w:tc>
          <w:tcPr>
            <w:tcW w:w="4664" w:type="dxa"/>
            <w:vAlign w:val="center"/>
          </w:tcPr>
          <w:p w14:paraId="44354719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4"/>
            <w:bookmarkStart w:id="3" w:name="OLE_LINK5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2"/>
            <w:bookmarkEnd w:id="3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mali işleyiş sistemine sahip resmî belgeler</w:t>
            </w:r>
          </w:p>
          <w:p w14:paraId="6779C13A" w14:textId="77777777" w:rsidR="00651942" w:rsidRPr="00532FF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A55664F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2BBAB8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4B146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F5BC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144C4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2646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57D45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1CEDCF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7FFB0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1083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F9D8D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942BC2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889F2" w14:textId="2781DF6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410CCB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AE6E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7BDA2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CFA5C25" w14:textId="77777777" w:rsidTr="006D5F0A">
        <w:tc>
          <w:tcPr>
            <w:tcW w:w="13994" w:type="dxa"/>
            <w:gridSpan w:val="3"/>
            <w:shd w:val="clear" w:color="auto" w:fill="17889B"/>
          </w:tcPr>
          <w:p w14:paraId="71CCE858" w14:textId="7777777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651942" w:rsidRPr="00797297" w14:paraId="2B2D902F" w14:textId="77777777" w:rsidTr="006D5F0A">
        <w:tc>
          <w:tcPr>
            <w:tcW w:w="13994" w:type="dxa"/>
            <w:gridSpan w:val="3"/>
            <w:shd w:val="clear" w:color="auto" w:fill="A2FEFF"/>
          </w:tcPr>
          <w:p w14:paraId="0BADF21A" w14:textId="1D92762E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2.5.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Kalite güvencesi</w:t>
            </w:r>
          </w:p>
        </w:tc>
      </w:tr>
      <w:tr w:rsidR="00651942" w:rsidRPr="00797297" w14:paraId="6A5EBDEE" w14:textId="77777777" w:rsidTr="006D5F0A">
        <w:tc>
          <w:tcPr>
            <w:tcW w:w="4664" w:type="dxa"/>
            <w:shd w:val="clear" w:color="auto" w:fill="D6FDFF"/>
          </w:tcPr>
          <w:p w14:paraId="7CBB01A8" w14:textId="6C533BDC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2D3B836B" w14:textId="51871D02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666" w:type="dxa"/>
            <w:shd w:val="clear" w:color="auto" w:fill="D6FDFF"/>
          </w:tcPr>
          <w:p w14:paraId="5F2D5D3C" w14:textId="5C6E8EE0" w:rsidR="00651942" w:rsidRPr="00F969F6" w:rsidRDefault="0046010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Açıklama</w:t>
            </w:r>
          </w:p>
        </w:tc>
      </w:tr>
      <w:tr w:rsidR="00651942" w:rsidRPr="00797297" w14:paraId="58B6C4B6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6E5570DB" w14:textId="77777777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toplam kaliteye yönelik prosedürleri mevcuttur, tüm paydaşlar için geçerli güvence tanımları yapılmıştır.  </w:t>
            </w:r>
          </w:p>
          <w:p w14:paraId="4FA94C52" w14:textId="5ED77014" w:rsidR="00651942" w:rsidRPr="00532FF2" w:rsidRDefault="00651942" w:rsidP="003469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4" w:type="dxa"/>
            <w:vAlign w:val="center"/>
          </w:tcPr>
          <w:p w14:paraId="3A2805D0" w14:textId="77777777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.Merkezin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/birimin kalite ile ilgili çalışmalarını gösteren belgeler</w:t>
            </w:r>
          </w:p>
          <w:p w14:paraId="2C73E072" w14:textId="69FB6AA0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sürecine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memnuniyetlerinin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amacıyla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alınan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görüşlerine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0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raporlar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notları</w:t>
            </w:r>
            <w:proofErr w:type="spellEnd"/>
          </w:p>
          <w:p w14:paraId="4FD531F4" w14:textId="77777777" w:rsid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Paydaşların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bildirimleri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bildirimler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doğrultusunda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iyileştirme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çalışmalarına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raporlar</w:t>
            </w:r>
            <w:proofErr w:type="spellEnd"/>
          </w:p>
          <w:p w14:paraId="7AE89052" w14:textId="202AD090" w:rsidR="00DF10E3" w:rsidRPr="00532FF2" w:rsidRDefault="00DF10E3" w:rsidP="002C0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paydaşların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C0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â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edildiği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danışma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tutanakları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89D16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C6D3EF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6151B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C6A6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9ECA5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6A0A3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BBBA7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91420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433796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5C54CD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D22C26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321A6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CBD89" w14:textId="707A865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77006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A48E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66D4B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CF5E87D" w14:textId="77777777" w:rsidTr="006D5F0A">
        <w:tc>
          <w:tcPr>
            <w:tcW w:w="13994" w:type="dxa"/>
            <w:gridSpan w:val="3"/>
            <w:shd w:val="clear" w:color="auto" w:fill="17889B"/>
          </w:tcPr>
          <w:p w14:paraId="5F445ECE" w14:textId="7777777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2. Yönetim ve Organizasyon</w:t>
            </w:r>
          </w:p>
        </w:tc>
      </w:tr>
      <w:tr w:rsidR="00651942" w:rsidRPr="00797297" w14:paraId="4A614B62" w14:textId="77777777" w:rsidTr="006D5F0A">
        <w:tc>
          <w:tcPr>
            <w:tcW w:w="13994" w:type="dxa"/>
            <w:gridSpan w:val="3"/>
            <w:shd w:val="clear" w:color="auto" w:fill="A2FEFF"/>
          </w:tcPr>
          <w:p w14:paraId="60E4F393" w14:textId="7E0641C2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2.6.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Arşivleme</w:t>
            </w:r>
          </w:p>
        </w:tc>
      </w:tr>
      <w:tr w:rsidR="00651942" w:rsidRPr="00797297" w14:paraId="359CA2C3" w14:textId="77777777" w:rsidTr="006D5F0A">
        <w:tc>
          <w:tcPr>
            <w:tcW w:w="4664" w:type="dxa"/>
            <w:shd w:val="clear" w:color="auto" w:fill="D6FDFF"/>
          </w:tcPr>
          <w:p w14:paraId="3384CAEA" w14:textId="1422479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08694189" w14:textId="0F90E6B2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4903E608" w14:textId="51F0B97E" w:rsidR="0065194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699716D8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52F85224" w14:textId="3C833F9C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1.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Merkezin/birimin bir arşivi bulunmaktadır. Veriler, kişisel verilerin korunmasıyla ilgili kanun, yönetmelik ve yönergelere uygun olarak depolanır.</w:t>
            </w:r>
          </w:p>
        </w:tc>
        <w:tc>
          <w:tcPr>
            <w:tcW w:w="4664" w:type="dxa"/>
            <w:vAlign w:val="center"/>
          </w:tcPr>
          <w:p w14:paraId="708B72D1" w14:textId="122C1D4A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5" w:name="OLE_LINK6"/>
            <w:bookmarkStart w:id="6" w:name="OLE_LINK9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5"/>
            <w:bookmarkEnd w:id="6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üvenli bir arşiv odasının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bulunduğuna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bilgi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belgeler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EDD66BF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1C372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21BD1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383D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A2E8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B291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986510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0DE15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2F5AC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E6F8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8D06C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EBB879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DED19" w14:textId="3A6FDCE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78D9CD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0A56D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BEBD373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725876CF" w14:textId="39FCE957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Merkezin/birimin bilgi ve belgelerin taşınması ve imhasında temel aldığı prosedürler mevcuttur. </w:t>
            </w:r>
          </w:p>
        </w:tc>
        <w:tc>
          <w:tcPr>
            <w:tcW w:w="4664" w:type="dxa"/>
            <w:vAlign w:val="center"/>
          </w:tcPr>
          <w:p w14:paraId="46D2E4FA" w14:textId="285AAF1E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arşiv belgelerinin taşınma ve imhasına yönelik prosedürler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FE793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EC7C0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3A3F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B20C3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A8C1D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C5E6BA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D54A6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8F1A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3FB64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3926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17C56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27DA8F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23F3" w14:textId="4EF22485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E17E81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71560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7E31A48A" w14:textId="77777777" w:rsidTr="006D5F0A">
        <w:trPr>
          <w:trHeight w:val="996"/>
        </w:trPr>
        <w:tc>
          <w:tcPr>
            <w:tcW w:w="4664" w:type="dxa"/>
            <w:vAlign w:val="center"/>
          </w:tcPr>
          <w:p w14:paraId="0BF89D46" w14:textId="1AEBB21D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651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Merkez/birim, öğrencilere ilişkin resmî kayıt belgeleri ile ölçme değerlendirme uygulamaları kapsamında gerçekleştirilen dijital ve basılı dokümanları yasal mevzuat çerçevesinde saklar.</w:t>
            </w:r>
          </w:p>
          <w:p w14:paraId="0DB17116" w14:textId="77777777" w:rsid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4" w:type="dxa"/>
            <w:vAlign w:val="center"/>
          </w:tcPr>
          <w:p w14:paraId="2D7DD70F" w14:textId="77777777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Öğrencilerin resmî kayıt belgeleri ile raporlar ve bunlara ilişkin resmî belgeler</w:t>
            </w:r>
          </w:p>
          <w:p w14:paraId="6B4C2425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BE94A19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62F606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292CD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4D6FF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71BB4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CE715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83246F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BD8766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A4301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A2E19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EB474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FCC965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09226" w14:textId="0155AD9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EE3900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38066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D2F96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118506C5" w14:textId="77777777" w:rsidTr="006D5F0A">
        <w:tc>
          <w:tcPr>
            <w:tcW w:w="13994" w:type="dxa"/>
            <w:gridSpan w:val="3"/>
            <w:shd w:val="clear" w:color="auto" w:fill="17889B"/>
          </w:tcPr>
          <w:p w14:paraId="638C1EC3" w14:textId="785B6053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3. Dil Öğrenme-Öğretme Süreçleri</w:t>
            </w:r>
          </w:p>
        </w:tc>
      </w:tr>
      <w:tr w:rsidR="00651942" w:rsidRPr="00797297" w14:paraId="2E5C06F0" w14:textId="77777777" w:rsidTr="006D5F0A">
        <w:tc>
          <w:tcPr>
            <w:tcW w:w="13994" w:type="dxa"/>
            <w:gridSpan w:val="3"/>
            <w:shd w:val="clear" w:color="auto" w:fill="A2FEFF"/>
          </w:tcPr>
          <w:p w14:paraId="37616492" w14:textId="1266C1D9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3.1.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programı</w:t>
            </w:r>
          </w:p>
        </w:tc>
      </w:tr>
      <w:tr w:rsidR="00651942" w:rsidRPr="00797297" w14:paraId="6C8D9618" w14:textId="77777777" w:rsidTr="006D5F0A">
        <w:tc>
          <w:tcPr>
            <w:tcW w:w="4664" w:type="dxa"/>
            <w:shd w:val="clear" w:color="auto" w:fill="D6FDFF"/>
          </w:tcPr>
          <w:p w14:paraId="44034EF4" w14:textId="207C0F84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4DF8B1A5" w14:textId="48D9A0BE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58C3D9F6" w14:textId="03328D60" w:rsidR="0065194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375C25AD" w14:textId="77777777" w:rsidTr="006D5F0A">
        <w:trPr>
          <w:trHeight w:val="566"/>
        </w:trPr>
        <w:tc>
          <w:tcPr>
            <w:tcW w:w="4664" w:type="dxa"/>
            <w:vAlign w:val="center"/>
          </w:tcPr>
          <w:p w14:paraId="0EC40DDC" w14:textId="493B3732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Pr="00651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651942">
              <w:rPr>
                <w:rFonts w:ascii="Times New Roman" w:hAnsi="Times New Roman" w:cs="Times New Roman"/>
                <w:bCs/>
                <w:sz w:val="20"/>
                <w:szCs w:val="20"/>
              </w:rPr>
              <w:t>Merkezin/birimin, yıllık, seviye ve becerilere uygun bir öğretim programı vardır.</w:t>
            </w:r>
          </w:p>
        </w:tc>
        <w:tc>
          <w:tcPr>
            <w:tcW w:w="4664" w:type="dxa"/>
            <w:vAlign w:val="center"/>
          </w:tcPr>
          <w:p w14:paraId="12545D0F" w14:textId="4E02BEDF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Merkezdeki/birimdeki öğretim faaliyetlerinde esas alınan program metni</w:t>
            </w:r>
            <w:r w:rsidR="00155B1A">
              <w:rPr>
                <w:rFonts w:ascii="Times New Roman" w:hAnsi="Times New Roman" w:cs="Times New Roman"/>
                <w:sz w:val="20"/>
                <w:szCs w:val="20"/>
              </w:rPr>
              <w:t>, belge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155B1A">
              <w:rPr>
                <w:rFonts w:ascii="Times New Roman" w:hAnsi="Times New Roman" w:cs="Times New Roman"/>
                <w:sz w:val="20"/>
                <w:szCs w:val="20"/>
              </w:rPr>
              <w:t xml:space="preserve"> ders izlenceleri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A656BA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566532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1919A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EB7B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9FF8A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843C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B20D2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525BF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42F14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D258A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4429BF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FDEDBB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03920" w14:textId="68B4F63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4BC503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2BB66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AB02712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651E2DB8" w14:textId="1B0E1AC0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takip ettiği dil öğretim programı ile kullanılan yaklaşım ve yöntemler, misyonuyla uyumlu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olup hedeflere ulaşmak ve öğrenci ihtiyaçlarını karşılamak için uygundur. </w:t>
            </w:r>
          </w:p>
        </w:tc>
        <w:tc>
          <w:tcPr>
            <w:tcW w:w="4664" w:type="dxa"/>
            <w:vAlign w:val="center"/>
          </w:tcPr>
          <w:p w14:paraId="51CCDDCF" w14:textId="4EDB5471" w:rsidR="00651942" w:rsidRPr="0014212C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Öğretim programı denklik tablosu (bkz. EK-1)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E27395B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5D8A9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9BC4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C8EC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2</w:t>
                  </w:r>
                </w:p>
                <w:p w14:paraId="4B1613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8E6051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3</w:t>
                  </w:r>
                </w:p>
                <w:p w14:paraId="1B5DE0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B71E1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4</w:t>
                  </w:r>
                </w:p>
                <w:p w14:paraId="5AF71A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4AE28B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5</w:t>
                  </w:r>
                </w:p>
                <w:p w14:paraId="385D4B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D0448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2D606" w14:textId="75DADF4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239874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6329B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4E868566" w14:textId="77777777" w:rsidTr="006D5F0A">
        <w:trPr>
          <w:trHeight w:val="596"/>
        </w:trPr>
        <w:tc>
          <w:tcPr>
            <w:tcW w:w="4664" w:type="dxa"/>
            <w:vAlign w:val="center"/>
          </w:tcPr>
          <w:p w14:paraId="1AEF12A6" w14:textId="11E7B0CF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  <w:r w:rsidR="0065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651942" w:rsidRPr="00651942">
              <w:rPr>
                <w:rFonts w:ascii="Times New Roman" w:hAnsi="Times New Roman" w:cs="Times New Roman"/>
                <w:bCs/>
                <w:sz w:val="20"/>
                <w:szCs w:val="20"/>
              </w:rPr>
              <w:t>Öğretim programında dil becerilerine uygun bir ders dağılımı yapılmıştır.</w:t>
            </w:r>
          </w:p>
        </w:tc>
        <w:tc>
          <w:tcPr>
            <w:tcW w:w="4664" w:type="dxa"/>
            <w:vAlign w:val="center"/>
          </w:tcPr>
          <w:p w14:paraId="60AB2DE3" w14:textId="2C15F3C1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Haftalık/aylık/yıllık ders çizelgesi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2DC499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0FC8A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35867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18D07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A5901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3A893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5358C3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5101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8ABF9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8967B1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FFC73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7FEF1A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9736E" w14:textId="5636229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61DFBA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C5786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1F39662" w14:textId="77777777" w:rsidTr="006D5F0A">
        <w:trPr>
          <w:trHeight w:val="797"/>
        </w:trPr>
        <w:tc>
          <w:tcPr>
            <w:tcW w:w="4664" w:type="dxa"/>
            <w:vAlign w:val="center"/>
          </w:tcPr>
          <w:p w14:paraId="59C1971A" w14:textId="651A7088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9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1942" w:rsidRPr="00651942">
              <w:rPr>
                <w:rFonts w:ascii="Times New Roman" w:hAnsi="Times New Roman" w:cs="Times New Roman"/>
                <w:sz w:val="20"/>
                <w:szCs w:val="20"/>
              </w:rPr>
              <w:t>Merkez/birim, öğrencilerin Türkçe öğreniminde sürekli gelişimini sağlayacak, nitelikli, tutarlı ve etkili öğrenme fırsatları sunar.</w:t>
            </w:r>
          </w:p>
        </w:tc>
        <w:tc>
          <w:tcPr>
            <w:tcW w:w="4664" w:type="dxa"/>
            <w:vAlign w:val="center"/>
          </w:tcPr>
          <w:p w14:paraId="72CEA898" w14:textId="409C9BE1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Akademik personel ve öğrencilerle</w:t>
            </w: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174A791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4D2F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71CAF2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787A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2EF53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7010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023F4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E5EF47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BD4C3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5D31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E3990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34D4E2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0368" w14:textId="24D68EE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C7E883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BB7D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61371D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B9C9D44" w14:textId="77777777" w:rsidTr="006D5F0A">
        <w:tc>
          <w:tcPr>
            <w:tcW w:w="13994" w:type="dxa"/>
            <w:gridSpan w:val="3"/>
            <w:shd w:val="clear" w:color="auto" w:fill="17889B"/>
          </w:tcPr>
          <w:p w14:paraId="5483B3FC" w14:textId="7777777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3. Dil Öğrenme-Öğretme Süreçleri</w:t>
            </w:r>
          </w:p>
        </w:tc>
      </w:tr>
      <w:tr w:rsidR="00651942" w:rsidRPr="00797297" w14:paraId="11EA69FF" w14:textId="77777777" w:rsidTr="006D5F0A">
        <w:tc>
          <w:tcPr>
            <w:tcW w:w="13994" w:type="dxa"/>
            <w:gridSpan w:val="3"/>
            <w:shd w:val="clear" w:color="auto" w:fill="A2FEFF"/>
          </w:tcPr>
          <w:p w14:paraId="224A27ED" w14:textId="79EC1278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3.2.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materyalleri</w:t>
            </w:r>
          </w:p>
        </w:tc>
      </w:tr>
      <w:tr w:rsidR="00651942" w:rsidRPr="00797297" w14:paraId="51D7B982" w14:textId="77777777" w:rsidTr="006D5F0A">
        <w:tc>
          <w:tcPr>
            <w:tcW w:w="4664" w:type="dxa"/>
            <w:shd w:val="clear" w:color="auto" w:fill="D6FDFF"/>
          </w:tcPr>
          <w:p w14:paraId="1A431800" w14:textId="150DA08F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 </w:t>
            </w:r>
          </w:p>
        </w:tc>
        <w:tc>
          <w:tcPr>
            <w:tcW w:w="4664" w:type="dxa"/>
            <w:shd w:val="clear" w:color="auto" w:fill="D6FDFF"/>
          </w:tcPr>
          <w:p w14:paraId="1AFC6E53" w14:textId="29F15660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1213413" w14:textId="7FF41E2A" w:rsidR="0065194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39432D08" w14:textId="77777777" w:rsidTr="006D5F0A">
        <w:trPr>
          <w:trHeight w:val="1044"/>
        </w:trPr>
        <w:tc>
          <w:tcPr>
            <w:tcW w:w="4664" w:type="dxa"/>
            <w:vAlign w:val="center"/>
          </w:tcPr>
          <w:p w14:paraId="5BF48CB0" w14:textId="4F434F5D" w:rsidR="00651942" w:rsidRPr="0014212C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Öğretim materyalleri, dersin amaçlarına uygun ve destekleyicidir.</w:t>
            </w:r>
          </w:p>
        </w:tc>
        <w:tc>
          <w:tcPr>
            <w:tcW w:w="4664" w:type="dxa"/>
            <w:vAlign w:val="center"/>
          </w:tcPr>
          <w:p w14:paraId="24EE0BC9" w14:textId="112BEE96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094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Öğretim programına uygun olarak hazırlanan/</w:t>
            </w:r>
            <w:r w:rsidR="00094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kullanılan materyallerin listesi</w:t>
            </w:r>
          </w:p>
          <w:p w14:paraId="4FC61B52" w14:textId="2CF265BE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b. Hazırlanan/kullanılan dijital </w:t>
            </w:r>
            <w:r w:rsidR="0011091B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basılı materyaller ve kullanım gerekçelerine ilişkin kanıtlar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AE34105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33626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5F61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92381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2192DF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059A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0F784D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2AFE8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16E99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B0F152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CAC59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B4218F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4FEB" w14:textId="55A1376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997B21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2FB64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0191336A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61234F91" w14:textId="5CA9EB6D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Öğretim süreci; güncel, erişilebilir teknolojik araçlar ve kaynaklarla zenginleştirilir ve sürekli geliştirilir. </w:t>
            </w:r>
          </w:p>
        </w:tc>
        <w:tc>
          <w:tcPr>
            <w:tcW w:w="4664" w:type="dxa"/>
            <w:vAlign w:val="center"/>
          </w:tcPr>
          <w:p w14:paraId="5FD40333" w14:textId="1FDBD9AF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Program ve materyallerle ilgili akademik personel ve öğrenci geri bildirimleri; buna bağlı olarak yapılan düzenlemeler</w:t>
            </w:r>
            <w:r w:rsidR="0011091B">
              <w:rPr>
                <w:rFonts w:ascii="Times New Roman" w:hAnsi="Times New Roman" w:cs="Times New Roman"/>
                <w:sz w:val="20"/>
                <w:szCs w:val="20"/>
              </w:rPr>
              <w:t>i gösterir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CE440E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B977C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D935F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9CC6F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2E1A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4FD03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9844C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64E2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4BCF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764BF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F0E266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B9B48D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564C5" w14:textId="7D8AEC8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2437DA8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BB44F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0E37B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0480444E" w14:textId="77777777" w:rsidTr="006D5F0A">
        <w:tc>
          <w:tcPr>
            <w:tcW w:w="13994" w:type="dxa"/>
            <w:gridSpan w:val="3"/>
            <w:shd w:val="clear" w:color="auto" w:fill="17889B"/>
          </w:tcPr>
          <w:p w14:paraId="3936C069" w14:textId="77777777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3. Dil Öğrenme-Öğretme Süreçleri</w:t>
            </w:r>
          </w:p>
        </w:tc>
      </w:tr>
      <w:tr w:rsidR="00651942" w:rsidRPr="00797297" w14:paraId="082D7D8A" w14:textId="77777777" w:rsidTr="006D5F0A">
        <w:tc>
          <w:tcPr>
            <w:tcW w:w="13994" w:type="dxa"/>
            <w:gridSpan w:val="3"/>
            <w:shd w:val="clear" w:color="auto" w:fill="A2FEFF"/>
          </w:tcPr>
          <w:p w14:paraId="47C914BD" w14:textId="439E4B5E" w:rsidR="00651942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3.3.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Programın süresi ve yapısı</w:t>
            </w:r>
          </w:p>
        </w:tc>
      </w:tr>
      <w:tr w:rsidR="00651942" w:rsidRPr="00797297" w14:paraId="7D55F191" w14:textId="77777777" w:rsidTr="006D5F0A">
        <w:tc>
          <w:tcPr>
            <w:tcW w:w="4664" w:type="dxa"/>
            <w:shd w:val="clear" w:color="auto" w:fill="D6FDFF"/>
          </w:tcPr>
          <w:p w14:paraId="45EC9B56" w14:textId="31DD4E5F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21100BE5" w14:textId="2D7389BF" w:rsidR="00651942" w:rsidRPr="00F969F6" w:rsidRDefault="00651942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7FA523A8" w14:textId="167A0420" w:rsidR="00651942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7947C7DF" w14:textId="77777777" w:rsidTr="006D5F0A">
        <w:trPr>
          <w:trHeight w:val="1044"/>
        </w:trPr>
        <w:tc>
          <w:tcPr>
            <w:tcW w:w="4664" w:type="dxa"/>
            <w:vAlign w:val="center"/>
          </w:tcPr>
          <w:p w14:paraId="49818C77" w14:textId="59A69625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Akademik takvim, yıllık kurs sayısına, ilgili dönemdeki kursların düzeye göre dağılımlarına, sınav tarihlerine, her bir kursun kaç hafta süreceğine ve haftalık ders saatlerine yönelik bilgileri kapsar. </w:t>
            </w:r>
          </w:p>
        </w:tc>
        <w:tc>
          <w:tcPr>
            <w:tcW w:w="4664" w:type="dxa"/>
            <w:vAlign w:val="center"/>
          </w:tcPr>
          <w:p w14:paraId="55304175" w14:textId="6C4D475A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Akademik takvime ilişkin (sınav tarihleri, haftalık ders saatleri vs.) resmî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5C6E49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1FD0C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3D8522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CD441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5D2D0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8446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8CF84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F1D1A4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A86CE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A8CB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820A0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3C4F7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0930B" w14:textId="7674E53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4D5E38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FD78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320F70D0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3123431C" w14:textId="77777777" w:rsidR="00651942" w:rsidRDefault="00651942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Merkez/birim; akademik takviminde, dil düzeylerine uygun olarak asgari ders saatlerini aşağıda yer alan tablodaki gibi düzenler. </w:t>
            </w:r>
          </w:p>
          <w:tbl>
            <w:tblPr>
              <w:tblStyle w:val="TabloKlavuzu"/>
              <w:tblW w:w="0" w:type="auto"/>
              <w:jc w:val="center"/>
              <w:tblBorders>
                <w:top w:val="single" w:sz="8" w:space="0" w:color="00CFDA"/>
                <w:left w:val="none" w:sz="0" w:space="0" w:color="auto"/>
                <w:bottom w:val="single" w:sz="8" w:space="0" w:color="00CFDA"/>
                <w:right w:val="none" w:sz="0" w:space="0" w:color="auto"/>
                <w:insideH w:val="single" w:sz="8" w:space="0" w:color="00CFDA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2"/>
              <w:gridCol w:w="1206"/>
              <w:gridCol w:w="1450"/>
            </w:tblGrid>
            <w:tr w:rsidR="0014291B" w:rsidRPr="0014291B" w14:paraId="0A8EC1E7" w14:textId="77777777" w:rsidTr="006D5F0A">
              <w:trPr>
                <w:jc w:val="center"/>
              </w:trPr>
              <w:tc>
                <w:tcPr>
                  <w:tcW w:w="3261" w:type="dxa"/>
                  <w:shd w:val="clear" w:color="auto" w:fill="A2FEFF"/>
                  <w:vAlign w:val="center"/>
                </w:tcPr>
                <w:p w14:paraId="47E43453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Düzey</w:t>
                  </w:r>
                </w:p>
              </w:tc>
              <w:tc>
                <w:tcPr>
                  <w:tcW w:w="2409" w:type="dxa"/>
                  <w:shd w:val="clear" w:color="auto" w:fill="A2FEFF"/>
                </w:tcPr>
                <w:p w14:paraId="18B83470" w14:textId="77777777" w:rsidR="0014291B" w:rsidRPr="0014291B" w:rsidRDefault="0014291B" w:rsidP="0034693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shd w:val="clear" w:color="auto" w:fill="A2FEFF"/>
                </w:tcPr>
                <w:p w14:paraId="6DC06FD2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Ders saati</w:t>
                  </w:r>
                </w:p>
              </w:tc>
            </w:tr>
            <w:tr w:rsidR="0014291B" w:rsidRPr="0014291B" w14:paraId="6468C389" w14:textId="77777777" w:rsidTr="006D5F0A">
              <w:trPr>
                <w:jc w:val="center"/>
              </w:trPr>
              <w:tc>
                <w:tcPr>
                  <w:tcW w:w="3261" w:type="dxa"/>
                  <w:vMerge w:val="restart"/>
                  <w:shd w:val="clear" w:color="auto" w:fill="D6FDFF"/>
                  <w:vAlign w:val="center"/>
                </w:tcPr>
                <w:p w14:paraId="21B18313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Temel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31FE46AC" w14:textId="77777777" w:rsidR="0014291B" w:rsidRPr="0014291B" w:rsidRDefault="0014291B" w:rsidP="0034693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2835" w:type="dxa"/>
                  <w:vAlign w:val="center"/>
                </w:tcPr>
                <w:p w14:paraId="02E9F500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150 saat</w:t>
                  </w:r>
                </w:p>
              </w:tc>
            </w:tr>
            <w:tr w:rsidR="0014291B" w:rsidRPr="0014291B" w14:paraId="6966D1E6" w14:textId="77777777" w:rsidTr="006D5F0A">
              <w:trPr>
                <w:jc w:val="center"/>
              </w:trPr>
              <w:tc>
                <w:tcPr>
                  <w:tcW w:w="3261" w:type="dxa"/>
                  <w:vMerge/>
                  <w:shd w:val="clear" w:color="auto" w:fill="D6FDFF"/>
                  <w:vAlign w:val="center"/>
                </w:tcPr>
                <w:p w14:paraId="22224401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17978DB1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A2</w:t>
                  </w:r>
                </w:p>
              </w:tc>
              <w:tc>
                <w:tcPr>
                  <w:tcW w:w="2835" w:type="dxa"/>
                  <w:vAlign w:val="center"/>
                </w:tcPr>
                <w:p w14:paraId="2C23830A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150 saat</w:t>
                  </w:r>
                </w:p>
              </w:tc>
            </w:tr>
            <w:tr w:rsidR="0014291B" w:rsidRPr="0014291B" w14:paraId="2B6811EF" w14:textId="77777777" w:rsidTr="006D5F0A">
              <w:trPr>
                <w:jc w:val="center"/>
              </w:trPr>
              <w:tc>
                <w:tcPr>
                  <w:tcW w:w="3261" w:type="dxa"/>
                  <w:vMerge w:val="restart"/>
                  <w:shd w:val="clear" w:color="auto" w:fill="D6FDFF"/>
                  <w:vAlign w:val="center"/>
                </w:tcPr>
                <w:p w14:paraId="288F5865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Bağımsız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1E3EED7D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B1</w:t>
                  </w:r>
                </w:p>
              </w:tc>
              <w:tc>
                <w:tcPr>
                  <w:tcW w:w="2835" w:type="dxa"/>
                  <w:vAlign w:val="center"/>
                </w:tcPr>
                <w:p w14:paraId="6F29A33B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175 saat</w:t>
                  </w:r>
                </w:p>
              </w:tc>
            </w:tr>
            <w:tr w:rsidR="0014291B" w:rsidRPr="0014291B" w14:paraId="02FD2B37" w14:textId="77777777" w:rsidTr="006D5F0A">
              <w:trPr>
                <w:jc w:val="center"/>
              </w:trPr>
              <w:tc>
                <w:tcPr>
                  <w:tcW w:w="3261" w:type="dxa"/>
                  <w:vMerge/>
                  <w:shd w:val="clear" w:color="auto" w:fill="D6FDFF"/>
                  <w:vAlign w:val="center"/>
                </w:tcPr>
                <w:p w14:paraId="5284CF45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C1074EA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620F99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175 saat</w:t>
                  </w:r>
                </w:p>
              </w:tc>
            </w:tr>
            <w:tr w:rsidR="0014291B" w:rsidRPr="0014291B" w14:paraId="58FA2542" w14:textId="77777777" w:rsidTr="006D5F0A">
              <w:trPr>
                <w:jc w:val="center"/>
              </w:trPr>
              <w:tc>
                <w:tcPr>
                  <w:tcW w:w="3261" w:type="dxa"/>
                  <w:shd w:val="clear" w:color="auto" w:fill="D6FDFF"/>
                  <w:vAlign w:val="center"/>
                </w:tcPr>
                <w:p w14:paraId="456F8D29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Yetkin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872FDE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443D8D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200 saat</w:t>
                  </w:r>
                </w:p>
              </w:tc>
            </w:tr>
          </w:tbl>
          <w:p w14:paraId="51CBA9B3" w14:textId="66DAEEF8" w:rsidR="0014291B" w:rsidRPr="00651942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0D3A2341" w14:textId="194E431E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Dil düzeyleri için belirlenen ders saatlerini gösteren resmî belgeler</w:t>
            </w:r>
            <w:r w:rsidR="004564C8">
              <w:rPr>
                <w:rFonts w:ascii="Times New Roman" w:hAnsi="Times New Roman" w:cs="Times New Roman"/>
                <w:sz w:val="20"/>
                <w:szCs w:val="20"/>
              </w:rPr>
              <w:t xml:space="preserve">, yönetim kurulu kararları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117223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C86F7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0C295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3F62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F0D9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6C851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DE16C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C066E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DC401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389F6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EBBAE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F884E3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F464" w14:textId="0599C0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D057AB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72552" w14:textId="77777777" w:rsidR="00651942" w:rsidRPr="00532FF2" w:rsidRDefault="00651942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7F3C3C" w14:textId="77777777" w:rsidR="00651942" w:rsidRDefault="00651942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1D5D8171" w14:textId="77777777" w:rsidTr="006D5F0A">
        <w:tc>
          <w:tcPr>
            <w:tcW w:w="13994" w:type="dxa"/>
            <w:gridSpan w:val="3"/>
            <w:shd w:val="clear" w:color="auto" w:fill="17889B"/>
          </w:tcPr>
          <w:p w14:paraId="53AFE127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3. Dil Öğrenme-Öğretme Süreçleri</w:t>
            </w:r>
          </w:p>
        </w:tc>
      </w:tr>
      <w:tr w:rsidR="0014291B" w:rsidRPr="00797297" w14:paraId="334CF08C" w14:textId="77777777" w:rsidTr="006D5F0A">
        <w:tc>
          <w:tcPr>
            <w:tcW w:w="13994" w:type="dxa"/>
            <w:gridSpan w:val="3"/>
            <w:shd w:val="clear" w:color="auto" w:fill="A2FEFF"/>
          </w:tcPr>
          <w:p w14:paraId="273B9196" w14:textId="731691A4" w:rsidR="0014291B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3.4. </w:t>
            </w:r>
            <w:r w:rsidR="0014291B" w:rsidRPr="006A0C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Öğretim süreci</w:t>
            </w:r>
          </w:p>
        </w:tc>
      </w:tr>
      <w:tr w:rsidR="0014291B" w:rsidRPr="00797297" w14:paraId="141EB6EF" w14:textId="77777777" w:rsidTr="006D5F0A">
        <w:tc>
          <w:tcPr>
            <w:tcW w:w="4664" w:type="dxa"/>
            <w:shd w:val="clear" w:color="auto" w:fill="D6FDFF"/>
          </w:tcPr>
          <w:p w14:paraId="667A5ABF" w14:textId="7B1C245F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7EF8509D" w14:textId="7D6C24A5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17398136" w14:textId="25D13F37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46E03C76" w14:textId="77777777" w:rsidTr="006D5F0A">
        <w:trPr>
          <w:trHeight w:val="763"/>
        </w:trPr>
        <w:tc>
          <w:tcPr>
            <w:tcW w:w="4664" w:type="dxa"/>
            <w:vAlign w:val="center"/>
          </w:tcPr>
          <w:p w14:paraId="795C98C8" w14:textId="3AEDA3A6" w:rsidR="0014291B" w:rsidRPr="00651942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4E6546">
              <w:rPr>
                <w:rFonts w:ascii="Times New Roman" w:hAnsi="Times New Roman" w:cs="Times New Roman"/>
                <w:sz w:val="20"/>
                <w:szCs w:val="20"/>
              </w:rPr>
              <w:t>Ders işleniş süreci dil düzeyine uygun yaklaşım, yöntem ve tekniklere göre yapılandırılmıştır.</w:t>
            </w:r>
          </w:p>
        </w:tc>
        <w:tc>
          <w:tcPr>
            <w:tcW w:w="4664" w:type="dxa"/>
            <w:vAlign w:val="center"/>
          </w:tcPr>
          <w:p w14:paraId="4B781A0F" w14:textId="77777777" w:rsidR="00BD0959" w:rsidRPr="00ED4626" w:rsidRDefault="00BD0959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a. 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Seviyelere göre (A1, A2, B1…) belirtilmiş hedef, yöntem ve etkinlik türlerini içeren ders planları</w:t>
            </w:r>
          </w:p>
          <w:p w14:paraId="27AC0AD8" w14:textId="29CCA8E9" w:rsidR="00BD0959" w:rsidRPr="00ED4626" w:rsidRDefault="00BD0959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proofErr w:type="gramEnd"/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D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ayanak olarak gösterilen çerçeve programla uyumlu proje görevleri, etkinlik</w:t>
            </w: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leri</w:t>
            </w:r>
          </w:p>
          <w:p w14:paraId="66E74C4A" w14:textId="4DEC9844" w:rsidR="0014291B" w:rsidRPr="00ED4626" w:rsidRDefault="00BD0959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proofErr w:type="gramEnd"/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D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üzeye uygun ana ve y</w:t>
            </w:r>
            <w:r w:rsidR="00F11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ardımcı ders materyali örnekleri ve etkinlikler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5659D92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72F40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00787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BEEE1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655AF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03103A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36578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6D842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17F66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98DA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5FA10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65A8EC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35C19" w14:textId="450901E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691310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6A54C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5767D1A9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237C4B44" w14:textId="56A24FF0" w:rsidR="0014291B" w:rsidRPr="00651942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E6546">
              <w:rPr>
                <w:rFonts w:ascii="Times New Roman" w:hAnsi="Times New Roman" w:cs="Times New Roman"/>
                <w:sz w:val="20"/>
                <w:szCs w:val="20"/>
              </w:rPr>
              <w:t>Ders işleniş süreci dil becerilerine uygun olarak tasarlanmıştır.</w:t>
            </w:r>
          </w:p>
        </w:tc>
        <w:tc>
          <w:tcPr>
            <w:tcW w:w="4664" w:type="dxa"/>
            <w:vAlign w:val="center"/>
          </w:tcPr>
          <w:p w14:paraId="6333A612" w14:textId="3C374B52" w:rsidR="00BD0959" w:rsidRPr="00ED4626" w:rsidRDefault="00BD0959" w:rsidP="005D4E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a. 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Becerilere göre hazırlanmış izlenceler, etkinlik örnekleri</w:t>
            </w:r>
          </w:p>
          <w:p w14:paraId="4E23AC44" w14:textId="757B423E" w:rsidR="00BD0959" w:rsidRPr="00ED4626" w:rsidRDefault="00BD0959" w:rsidP="005D4E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H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aftalık aylık ve yıllık programda becerilere ayrılan süreyi gösteren belgeler </w:t>
            </w:r>
          </w:p>
          <w:p w14:paraId="6DC0E521" w14:textId="3D7829B4" w:rsidR="00BD0959" w:rsidRPr="00ED4626" w:rsidRDefault="00BD0959" w:rsidP="005D4E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Ö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ğrenme ortamında becerilere yönelik hazırlanan materyaller</w:t>
            </w:r>
          </w:p>
          <w:p w14:paraId="726045B8" w14:textId="6E0DBFF6" w:rsidR="0014291B" w:rsidRPr="00ED4626" w:rsidRDefault="00BD0959" w:rsidP="005D4E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ç. B</w:t>
            </w:r>
            <w:r w:rsidR="005D4EF5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eceriye uygun öğrenci ürünleri (yazılı ödev, konuşma kaydı, oyun senaryoları)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B73EE99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B13B7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E6947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F33B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943CB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EAC3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1565E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96B44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32EB3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1B35B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8C5E8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9956D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3166F" w14:textId="0472D9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FA097E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F91C3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71590A3" w14:textId="77777777" w:rsidTr="006D5F0A">
        <w:trPr>
          <w:trHeight w:val="631"/>
        </w:trPr>
        <w:tc>
          <w:tcPr>
            <w:tcW w:w="4664" w:type="dxa"/>
            <w:vAlign w:val="center"/>
          </w:tcPr>
          <w:p w14:paraId="0EA34C6B" w14:textId="263BDDB7" w:rsidR="0014291B" w:rsidRPr="0014291B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3. Öğretim elemanları mesleki temsil açısından yeterlidir.</w:t>
            </w:r>
          </w:p>
        </w:tc>
        <w:tc>
          <w:tcPr>
            <w:tcW w:w="4664" w:type="dxa"/>
            <w:vAlign w:val="center"/>
          </w:tcPr>
          <w:p w14:paraId="29B753A1" w14:textId="5D57CDAB" w:rsidR="0014291B" w:rsidRPr="00ED4626" w:rsidRDefault="005D4EF5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Öğretim elemanlarının </w:t>
            </w:r>
            <w:r w:rsidR="008F59ED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 yönetimi, ses kullanımı, kültürlerarası yeterliliği, tutumu</w:t>
            </w:r>
            <w:r w:rsidR="008D7FAC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</w:t>
            </w:r>
            <w:r w:rsidR="008F59ED" w:rsidRPr="00ED46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davranışları, öğrenci ile iletişimi, anlaşılabilirliği, zaman yönetimi, derse zamanında girip çıkma durumları ile ilgili düzenlenen memnuniyet anketi ve buna bağlı olarak oluşturulan performans değerlendirme belgeleri vb.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3E9546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EF09B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8DB0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9B6CE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52CEE7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7C5A7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4C113A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E1C535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FB566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D2D03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2FC4B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956CFC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C428" w14:textId="6DEEFD2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80B1B9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00826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F2AF6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7C3567B" w14:textId="77777777" w:rsidTr="006D5F0A">
        <w:tc>
          <w:tcPr>
            <w:tcW w:w="13994" w:type="dxa"/>
            <w:gridSpan w:val="3"/>
            <w:shd w:val="clear" w:color="auto" w:fill="17889B"/>
          </w:tcPr>
          <w:p w14:paraId="7A0909A1" w14:textId="4D94BBD0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4. Alt Yapı, Ortam ve Olanaklar</w:t>
            </w:r>
          </w:p>
        </w:tc>
      </w:tr>
      <w:tr w:rsidR="0014291B" w:rsidRPr="00797297" w14:paraId="528C1A0B" w14:textId="77777777" w:rsidTr="006D5F0A">
        <w:tc>
          <w:tcPr>
            <w:tcW w:w="13994" w:type="dxa"/>
            <w:gridSpan w:val="3"/>
            <w:shd w:val="clear" w:color="auto" w:fill="A2FEFF"/>
          </w:tcPr>
          <w:p w14:paraId="2BD9833A" w14:textId="7FC289D1" w:rsidR="0014291B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Fiziki koşullar</w:t>
            </w:r>
          </w:p>
        </w:tc>
      </w:tr>
      <w:tr w:rsidR="0014291B" w:rsidRPr="00797297" w14:paraId="57F010FF" w14:textId="77777777" w:rsidTr="006D5F0A">
        <w:tc>
          <w:tcPr>
            <w:tcW w:w="4664" w:type="dxa"/>
            <w:shd w:val="clear" w:color="auto" w:fill="D6FDFF"/>
          </w:tcPr>
          <w:p w14:paraId="73406DF8" w14:textId="27DDE449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09C7C3AD" w14:textId="16FA5073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4FAA6BA2" w14:textId="54637CA2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CE69B70" w14:textId="77777777" w:rsidTr="006D5F0A">
        <w:trPr>
          <w:trHeight w:val="763"/>
        </w:trPr>
        <w:tc>
          <w:tcPr>
            <w:tcW w:w="4664" w:type="dxa"/>
            <w:vAlign w:val="center"/>
          </w:tcPr>
          <w:p w14:paraId="2FC8FD1A" w14:textId="4650D4A9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dil öğrenme-öğretme sürecinin gerektirdiği fiziki koşullara sahiptir. </w:t>
            </w:r>
          </w:p>
        </w:tc>
        <w:tc>
          <w:tcPr>
            <w:tcW w:w="4664" w:type="dxa"/>
            <w:vAlign w:val="center"/>
          </w:tcPr>
          <w:p w14:paraId="4CA28897" w14:textId="3FC34680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Sınıf mevcutlarını ve fiziki koşulları gösteren bilgi ve belgeler</w:t>
            </w:r>
            <w:r w:rsidR="00D7111F">
              <w:rPr>
                <w:rFonts w:ascii="Times New Roman" w:hAnsi="Times New Roman" w:cs="Times New Roman"/>
                <w:sz w:val="20"/>
                <w:szCs w:val="20"/>
              </w:rPr>
              <w:t>, kat planları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E9A09F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7B128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26B5B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B9726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0BED7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465E5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423AE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7DB2C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E55A3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663F3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370848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67CFC0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E8F2F" w14:textId="456279F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C27DFB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EE0E6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A08488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133870DE" w14:textId="77777777" w:rsidTr="006D5F0A">
        <w:tc>
          <w:tcPr>
            <w:tcW w:w="13994" w:type="dxa"/>
            <w:gridSpan w:val="3"/>
            <w:shd w:val="clear" w:color="auto" w:fill="17889B"/>
          </w:tcPr>
          <w:p w14:paraId="4E1B9538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4. Alt Yapı, Ortam ve Olanaklar</w:t>
            </w:r>
          </w:p>
        </w:tc>
      </w:tr>
      <w:tr w:rsidR="0014291B" w:rsidRPr="00797297" w14:paraId="235799FA" w14:textId="77777777" w:rsidTr="006D5F0A">
        <w:tc>
          <w:tcPr>
            <w:tcW w:w="13994" w:type="dxa"/>
            <w:gridSpan w:val="3"/>
            <w:shd w:val="clear" w:color="auto" w:fill="A2FEFF"/>
          </w:tcPr>
          <w:p w14:paraId="774EC139" w14:textId="29691CD9" w:rsidR="0014291B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Donanım</w:t>
            </w:r>
          </w:p>
        </w:tc>
      </w:tr>
      <w:tr w:rsidR="0014291B" w:rsidRPr="00797297" w14:paraId="5378F952" w14:textId="77777777" w:rsidTr="006D5F0A">
        <w:tc>
          <w:tcPr>
            <w:tcW w:w="4664" w:type="dxa"/>
            <w:shd w:val="clear" w:color="auto" w:fill="D6FDFF"/>
          </w:tcPr>
          <w:p w14:paraId="3D57D5E9" w14:textId="196BFE96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DB61658" w14:textId="4459FEA2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7D8431D7" w14:textId="3F13C440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Puanlama </w:t>
            </w:r>
          </w:p>
        </w:tc>
      </w:tr>
      <w:tr w:rsidR="0014291B" w:rsidRPr="00797297" w14:paraId="0F6A225C" w14:textId="77777777" w:rsidTr="006D5F0A">
        <w:trPr>
          <w:trHeight w:val="763"/>
        </w:trPr>
        <w:tc>
          <w:tcPr>
            <w:tcW w:w="4664" w:type="dxa"/>
            <w:vAlign w:val="center"/>
          </w:tcPr>
          <w:p w14:paraId="63018E23" w14:textId="6BB74439" w:rsidR="0014291B" w:rsidRPr="0014291B" w:rsidRDefault="0014291B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Merkez/birim, eğitim hedeflerine ulaşılmasını destekleyen; öğrenciler, öğretim elemanları ve yöneticiler tarafından erişilebilen imkânlara ve donanıma sahiptir. </w:t>
            </w:r>
          </w:p>
        </w:tc>
        <w:tc>
          <w:tcPr>
            <w:tcW w:w="4664" w:type="dxa"/>
            <w:vAlign w:val="center"/>
          </w:tcPr>
          <w:p w14:paraId="4DB6BC44" w14:textId="70C13A90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Sınıfların, dil öğretiminin gerektirdiği teknolojik donanıma (bilgisayar, projeksiyon, hoparlör vb.) sahip olduğuna ilişkin bilgi ve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8FF9A3D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45C8F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E08B9A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C617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D91A38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73BAB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74009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EA823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35454D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4807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75312A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0CCDC8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4A34C" w14:textId="6408EC6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46971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15797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0FF92A4" w14:textId="77777777" w:rsidTr="006D5F0A">
        <w:trPr>
          <w:trHeight w:val="763"/>
        </w:trPr>
        <w:tc>
          <w:tcPr>
            <w:tcW w:w="4664" w:type="dxa"/>
            <w:vAlign w:val="center"/>
          </w:tcPr>
          <w:p w14:paraId="6E6A40DA" w14:textId="3FF089E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Merkezdeki/birimdeki tüm elektronik ve elektronik olmayan araç ve gereçler, kolayca erişilebilir, kullanılabilir ve bakımlıdır; elektronik bağlantı güvenilirdir. </w:t>
            </w:r>
          </w:p>
        </w:tc>
        <w:tc>
          <w:tcPr>
            <w:tcW w:w="4664" w:type="dxa"/>
            <w:vAlign w:val="center"/>
          </w:tcPr>
          <w:p w14:paraId="7D46D238" w14:textId="44CF1DE3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Teknolojik ekipmanın bakım kayıtları (bilgisayar,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C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kıllı tahta, projeksiyon,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asansör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50F1AF3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C2C76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0D982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7A316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1C62FF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2AA7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E60A1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C14B0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C198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DF6AD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B5849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F8994B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BD82F" w14:textId="6FEFF7F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3416A2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BA542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A2C2E5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6DB307A3" w14:textId="77777777" w:rsidTr="006D5F0A">
        <w:tc>
          <w:tcPr>
            <w:tcW w:w="13994" w:type="dxa"/>
            <w:gridSpan w:val="3"/>
            <w:shd w:val="clear" w:color="auto" w:fill="17889B"/>
          </w:tcPr>
          <w:p w14:paraId="3FB3BEFF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4. Alt Yapı, Ortam ve Olanaklar</w:t>
            </w:r>
          </w:p>
        </w:tc>
      </w:tr>
      <w:tr w:rsidR="0014291B" w:rsidRPr="00797297" w14:paraId="0B995E51" w14:textId="77777777" w:rsidTr="006D5F0A">
        <w:tc>
          <w:tcPr>
            <w:tcW w:w="13994" w:type="dxa"/>
            <w:gridSpan w:val="3"/>
            <w:shd w:val="clear" w:color="auto" w:fill="A2FEFF"/>
          </w:tcPr>
          <w:p w14:paraId="0838F19A" w14:textId="77C405A6" w:rsidR="0014291B" w:rsidRPr="00532FF2" w:rsidRDefault="009876C2" w:rsidP="005D4E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4.3.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Acil durum ekipmanları</w:t>
            </w:r>
          </w:p>
        </w:tc>
      </w:tr>
      <w:tr w:rsidR="0014291B" w:rsidRPr="00797297" w14:paraId="4B5EA96D" w14:textId="77777777" w:rsidTr="006D5F0A">
        <w:tc>
          <w:tcPr>
            <w:tcW w:w="4664" w:type="dxa"/>
            <w:shd w:val="clear" w:color="auto" w:fill="D6FDFF"/>
          </w:tcPr>
          <w:p w14:paraId="73C840CA" w14:textId="3F6BA69E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46A8B21" w14:textId="0CF24DC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66853AB" w14:textId="7350A355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515DB9D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729549AA" w14:textId="758410BF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Merkezde/birimde öğrencilerin, öğretim elemanlarının ve diğer çalışanların sağlı</w:t>
            </w:r>
            <w:r w:rsidR="000E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ğını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korumak ve güvenli</w:t>
            </w:r>
            <w:r w:rsidR="000E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ğini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sağlamak için düzenlemeler bulunmaktadır.</w:t>
            </w:r>
          </w:p>
        </w:tc>
        <w:tc>
          <w:tcPr>
            <w:tcW w:w="4664" w:type="dxa"/>
            <w:vAlign w:val="center"/>
          </w:tcPr>
          <w:p w14:paraId="5217C24E" w14:textId="78239C26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Merkezin/birimin binaları ve tesislerinin, güvenlik ve sağlık standartlarına uygunluğunu gösteren denetim raporları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6F4267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F9317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904794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BAC66F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F7D07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105A6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0D5F47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B1100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65C7F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587B2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1D1C1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F746B9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14258" w14:textId="55AD2EF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86B21C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6090B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67199301" w14:textId="77777777" w:rsidTr="006D5F0A">
        <w:trPr>
          <w:trHeight w:val="846"/>
        </w:trPr>
        <w:tc>
          <w:tcPr>
            <w:tcW w:w="4664" w:type="dxa"/>
            <w:vAlign w:val="center"/>
          </w:tcPr>
          <w:p w14:paraId="3388B588" w14:textId="6BB9DD5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Merkezde/birimde acil durum prosedürleri oluşturulmuş, kurum içinde buna yönelik işaretler, levhalar uygun yerlere yerleştirilmiştir. </w:t>
            </w:r>
          </w:p>
        </w:tc>
        <w:tc>
          <w:tcPr>
            <w:tcW w:w="4664" w:type="dxa"/>
            <w:vAlign w:val="center"/>
          </w:tcPr>
          <w:p w14:paraId="51582BC9" w14:textId="092A589E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Acil durum yönergeleri/işaretleri vb.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D2E01A9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0FBBA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423B19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61A1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47DF1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EA231C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F5CEF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B5D92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FD14DD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A329A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D811C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902709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6DDB3" w14:textId="3E72D04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1593EB6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4A20D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47A5C6A" w14:textId="77777777" w:rsidTr="006D5F0A">
        <w:trPr>
          <w:trHeight w:val="763"/>
        </w:trPr>
        <w:tc>
          <w:tcPr>
            <w:tcW w:w="4664" w:type="dxa"/>
            <w:vAlign w:val="center"/>
          </w:tcPr>
          <w:p w14:paraId="60AC54ED" w14:textId="7EED55C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ilgili diğer birimlerin (iş sağlığı ve güvenliği birimi gibi) görevlileriyle iş birliği yapmaktadır. </w:t>
            </w:r>
          </w:p>
        </w:tc>
        <w:tc>
          <w:tcPr>
            <w:tcW w:w="4664" w:type="dxa"/>
            <w:vAlign w:val="center"/>
          </w:tcPr>
          <w:p w14:paraId="4E42F92A" w14:textId="3FF070A9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İlgili kişilerle </w:t>
            </w:r>
            <w:r w:rsidR="00612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yapılan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 tutanakları, kayıtları vb. (iş yeri sağlığı ve güvenliği gibi)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8EF7E0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6B9A9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BA5957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A649C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0D693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DD04A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07554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86049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0EC09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A2F5F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7030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6C25A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48A0E" w14:textId="6786EE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9D116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D9DC4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03D3B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31965AB9" w14:textId="77777777" w:rsidTr="006D5F0A">
        <w:tc>
          <w:tcPr>
            <w:tcW w:w="13994" w:type="dxa"/>
            <w:gridSpan w:val="3"/>
            <w:shd w:val="clear" w:color="auto" w:fill="17889B"/>
          </w:tcPr>
          <w:p w14:paraId="25BF290B" w14:textId="69CE5F49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5. Öğretim Elemanları</w:t>
            </w:r>
          </w:p>
        </w:tc>
      </w:tr>
      <w:tr w:rsidR="0014291B" w:rsidRPr="00797297" w14:paraId="0FE3DFA9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702328DF" w14:textId="5D43C086" w:rsidR="0014291B" w:rsidRPr="0014291B" w:rsidRDefault="009876C2" w:rsidP="001429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5.1. </w:t>
            </w:r>
            <w:r w:rsidR="0014291B" w:rsidRP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Mevcut öğretim elemanı niteliği ve gelişimi</w:t>
            </w:r>
          </w:p>
        </w:tc>
      </w:tr>
      <w:tr w:rsidR="0014291B" w:rsidRPr="00797297" w14:paraId="6D0B2F39" w14:textId="77777777" w:rsidTr="006D5F0A">
        <w:tc>
          <w:tcPr>
            <w:tcW w:w="4664" w:type="dxa"/>
            <w:shd w:val="clear" w:color="auto" w:fill="D6FDFF"/>
          </w:tcPr>
          <w:p w14:paraId="3476E276" w14:textId="6C2221AE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4FDA8BED" w14:textId="1675FF39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0E36F2BF" w14:textId="2A8D7534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13F808B5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611F937E" w14:textId="63EF69AE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Merkezdeki/birimdeki </w:t>
            </w:r>
            <w:r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yöneticilerin</w:t>
            </w:r>
            <w:r w:rsidR="00D7111F"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</w:t>
            </w:r>
            <w:r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öğretim elemanlarının deneyimleri,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sorumluluk aldıkları alan için uygun ve yeterlidir.</w:t>
            </w:r>
          </w:p>
        </w:tc>
        <w:tc>
          <w:tcPr>
            <w:tcW w:w="4664" w:type="dxa"/>
            <w:vAlign w:val="center"/>
          </w:tcPr>
          <w:p w14:paraId="2452859E" w14:textId="42D46A0D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Öğretim elemanı </w:t>
            </w:r>
            <w:r w:rsidR="003D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yeterlik/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yetkinlik tablosu (bkz. EK-1)</w:t>
            </w:r>
          </w:p>
          <w:p w14:paraId="6CD80F03" w14:textId="4F29F4FE" w:rsidR="0014291B" w:rsidRPr="0014291B" w:rsidRDefault="003D4A98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  <w:r w:rsidR="0014291B"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Yönetici, idari personel ve 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="0014291B"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ğretim elemanlarının güncel öz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4291B"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geçmişleri ve akademik geçmişlerini gösteren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B9BCD8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96D6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A68E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0C2F1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1C401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6CCB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3D8E5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2DB9B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DE1B1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566A1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C307F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32774D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ADDF" w14:textId="6BBA5CC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D50417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4CCF8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9220445" w14:textId="77777777" w:rsidTr="006D5F0A">
        <w:trPr>
          <w:trHeight w:val="846"/>
        </w:trPr>
        <w:tc>
          <w:tcPr>
            <w:tcW w:w="4664" w:type="dxa"/>
            <w:vAlign w:val="center"/>
          </w:tcPr>
          <w:p w14:paraId="2D72CD97" w14:textId="31E87CEF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Merkezdeki/birimdeki tüm çalışanların mesleki gelişimlerinin sürekliliğini sağlamak için resmî bir plan ve program bulunmaktadır.</w:t>
            </w:r>
          </w:p>
        </w:tc>
        <w:tc>
          <w:tcPr>
            <w:tcW w:w="4664" w:type="dxa"/>
            <w:vAlign w:val="center"/>
          </w:tcPr>
          <w:p w14:paraId="1A8C746A" w14:textId="10A947BE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Öğretim elemanlarının katıldıkları 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bilimsel toplantılar,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gelişim seminerleri, atölye çalışmaları, konferanslar ve kurslar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ait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belgeler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1C336F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AEB68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41269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156F1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6EFF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05DD4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AA99B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7CEC0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1C5DC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A8BDF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A8B9D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9EDEFF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C5509" w14:textId="1348D25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1F726D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ABD6F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7387F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387327E4" w14:textId="77777777" w:rsidTr="006D5F0A">
        <w:tc>
          <w:tcPr>
            <w:tcW w:w="13994" w:type="dxa"/>
            <w:gridSpan w:val="3"/>
            <w:shd w:val="clear" w:color="auto" w:fill="17889B"/>
          </w:tcPr>
          <w:p w14:paraId="1D1E8F7B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5. Öğretim Elemanları</w:t>
            </w:r>
          </w:p>
        </w:tc>
      </w:tr>
      <w:tr w:rsidR="0014291B" w:rsidRPr="00797297" w14:paraId="6629D7BB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34CE373C" w14:textId="6B4EA37D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İşe alım ölçütleri</w:t>
            </w:r>
          </w:p>
        </w:tc>
      </w:tr>
      <w:tr w:rsidR="0014291B" w:rsidRPr="00797297" w14:paraId="3882E3AE" w14:textId="77777777" w:rsidTr="006D5F0A">
        <w:tc>
          <w:tcPr>
            <w:tcW w:w="4664" w:type="dxa"/>
            <w:shd w:val="clear" w:color="auto" w:fill="D6FDFF"/>
          </w:tcPr>
          <w:p w14:paraId="178472A1" w14:textId="43A03373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4F2E54AB" w14:textId="34E464C0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3F72F738" w14:textId="0F2ADE25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F814254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1AC22F29" w14:textId="0538781F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Öğretim elemanlarının ve idari personelin seçiminde göz önünde bulundurulan ölçütler vardır. </w:t>
            </w:r>
          </w:p>
        </w:tc>
        <w:tc>
          <w:tcPr>
            <w:tcW w:w="4664" w:type="dxa"/>
            <w:vAlign w:val="center"/>
          </w:tcPr>
          <w:p w14:paraId="12AC5A2D" w14:textId="07D1B63C" w:rsid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7" w:name="OLE_LINK10"/>
            <w:bookmarkStart w:id="8" w:name="OLE_LINK11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5F3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7"/>
            <w:bookmarkEnd w:id="8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öğretim elemanlarının işe alımına ilişkin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resm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î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politikaları ve prosedür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lerine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belgeler</w:t>
            </w:r>
          </w:p>
          <w:p w14:paraId="7FE8275D" w14:textId="52E103E0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 En son yapılan işe alım sürecin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e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belgeler (ilan, başvuru formu şablonu vs.)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EB6CF32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FD609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144F8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E065C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51284D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27E64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5D2FDE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A646E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9DEB35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F935A3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2F9A8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63798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39769" w14:textId="45206BB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96448D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B2183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AA7A31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790E8A2" w14:textId="77777777" w:rsidTr="006D5F0A">
        <w:tc>
          <w:tcPr>
            <w:tcW w:w="13994" w:type="dxa"/>
            <w:gridSpan w:val="3"/>
            <w:shd w:val="clear" w:color="auto" w:fill="17889B"/>
          </w:tcPr>
          <w:p w14:paraId="74E4C61B" w14:textId="64600B03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87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6. Öğrenci Desteği ve Hizmetleri</w:t>
            </w:r>
          </w:p>
        </w:tc>
      </w:tr>
      <w:tr w:rsidR="0014291B" w:rsidRPr="00797297" w14:paraId="76ACF977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5D3934D7" w14:textId="1F27DA99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oryantasyonu</w:t>
            </w:r>
          </w:p>
        </w:tc>
      </w:tr>
      <w:tr w:rsidR="0014291B" w:rsidRPr="00797297" w14:paraId="19F959EB" w14:textId="77777777" w:rsidTr="006D5F0A">
        <w:tc>
          <w:tcPr>
            <w:tcW w:w="4664" w:type="dxa"/>
            <w:shd w:val="clear" w:color="auto" w:fill="D6FDFF"/>
          </w:tcPr>
          <w:p w14:paraId="2E8E6017" w14:textId="6D36B010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2709150B" w14:textId="3217AAA6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227913CD" w14:textId="23743C35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187B1A65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15DBD535" w14:textId="0875EBE8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yeni gelen öğrencilerin kuruma, topluma ve fiziksel çevreye uyumunu desteklemek; sağlık ve güvenlik konularının yanı sıra göçmenlik düzenlemelerini ve prosedürlerini anlamalarına yardımcı olmak amacıyla oryantasyon çalışmalar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yapar. </w:t>
            </w:r>
          </w:p>
        </w:tc>
        <w:tc>
          <w:tcPr>
            <w:tcW w:w="4664" w:type="dxa"/>
            <w:vAlign w:val="center"/>
          </w:tcPr>
          <w:p w14:paraId="6A3537FA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a. Merkezin/birimin yeni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öğrencileri bilgilendirme aşamalarının belirtildiği bilgi notu, rapor veya prosedürler </w:t>
            </w:r>
          </w:p>
          <w:p w14:paraId="636B6223" w14:textId="5A9263F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Yeni gelen öğrencilerin programa, kuruma veya çevreye uyumlarını destekleyecek etkinlik örnekleri (geziler, sunumlar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6683D0E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4A8A8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1B199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55463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189E2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1C4095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8A746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44AFB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B8FD76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8487F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05560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7FB09A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DC453" w14:textId="1F3EBE8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95185A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0CA3C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28C4BBD5" w14:textId="77777777" w:rsidTr="006D5F0A">
        <w:trPr>
          <w:trHeight w:val="890"/>
        </w:trPr>
        <w:tc>
          <w:tcPr>
            <w:tcW w:w="4664" w:type="dxa"/>
            <w:vAlign w:val="center"/>
          </w:tcPr>
          <w:p w14:paraId="5DBB0A51" w14:textId="18AD3798" w:rsid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Öğrencilerin kayıt, devam, dil düzeyleri veya kurs ve çalışma programının yapısını; sürekli ilerleme ile ilgili politikaları anlamalarını sağlamayı amaçlar. </w:t>
            </w:r>
          </w:p>
        </w:tc>
        <w:tc>
          <w:tcPr>
            <w:tcW w:w="4664" w:type="dxa"/>
            <w:vAlign w:val="center"/>
          </w:tcPr>
          <w:p w14:paraId="6B87AF5F" w14:textId="3EB74A6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Öğrencilerin kayıt, devamlılık, öğretim sistemi, sınav sistemi gibi konularda bilgilendirildiğine yönelik kanıtlar (toplantı tutanakları, e-posta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6B4A99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7807D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765302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FF516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8632C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B6C9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26425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706354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43730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455F9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153CB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BDA65F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5737E" w14:textId="537DE17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EAC71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FC992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9586E73" w14:textId="77777777" w:rsidTr="006D5F0A">
        <w:trPr>
          <w:trHeight w:val="847"/>
        </w:trPr>
        <w:tc>
          <w:tcPr>
            <w:tcW w:w="4664" w:type="dxa"/>
            <w:vAlign w:val="center"/>
          </w:tcPr>
          <w:p w14:paraId="3630D9F7" w14:textId="086BD5EB" w:rsid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Öğrenciler, dil edinimleri ve öğrendiklerini kullanma fırsatları sunan sosyal ve kültürel etkinliklere erişebilirler.</w:t>
            </w:r>
          </w:p>
        </w:tc>
        <w:tc>
          <w:tcPr>
            <w:tcW w:w="4664" w:type="dxa"/>
            <w:vAlign w:val="center"/>
          </w:tcPr>
          <w:p w14:paraId="0B26A6F6" w14:textId="2BFA524B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Merkezin/birimin öğrenciler için verdiği hizmetlere ve sosyal etkinliklerine ilişkin belgeler (internet sitesi, broşür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A0FB109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88390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4E76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2111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2B5C5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26BCC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CA2F5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2C065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9F17E2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081CD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EC6C21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077C3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50A91" w14:textId="4D97CC1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EE34C8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FD0C1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CEFDA0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483B0DD" w14:textId="77777777" w:rsidTr="006D5F0A">
        <w:tc>
          <w:tcPr>
            <w:tcW w:w="13994" w:type="dxa"/>
            <w:gridSpan w:val="3"/>
            <w:shd w:val="clear" w:color="auto" w:fill="17889B"/>
          </w:tcPr>
          <w:p w14:paraId="101D0634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6. Öğrenci Desteği ve Hizmetleri</w:t>
            </w:r>
          </w:p>
        </w:tc>
      </w:tr>
      <w:tr w:rsidR="0014291B" w:rsidRPr="00797297" w14:paraId="201B1A1F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0B24DC10" w14:textId="144BFD6E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dışı faaliyetler</w:t>
            </w:r>
          </w:p>
        </w:tc>
      </w:tr>
      <w:tr w:rsidR="0014291B" w:rsidRPr="00797297" w14:paraId="55F94538" w14:textId="77777777" w:rsidTr="006D5F0A">
        <w:tc>
          <w:tcPr>
            <w:tcW w:w="4664" w:type="dxa"/>
            <w:shd w:val="clear" w:color="auto" w:fill="D6FDFF"/>
          </w:tcPr>
          <w:p w14:paraId="0F15CB82" w14:textId="22B9D45D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522CF32C" w14:textId="0BB46F7D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2179BAA0" w14:textId="4890505C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66EDA9DE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1F033497" w14:textId="4A8D217D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Merkez/birim tarafından gerçekleştirilen öğretim programı dışındaki faaliyetlerin (kültürel etkinliklere katılım, seminer, bilgilendirme toplantıları vb.) koşullarını yönetmek ve değerlendirmek için etkili sistemler vardır. </w:t>
            </w:r>
          </w:p>
        </w:tc>
        <w:tc>
          <w:tcPr>
            <w:tcW w:w="4664" w:type="dxa"/>
            <w:vAlign w:val="center"/>
          </w:tcPr>
          <w:p w14:paraId="38B12769" w14:textId="77777777" w:rsidR="0014291B" w:rsidRDefault="0014291B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Öğretim programı dışında yapılan bir etkinliğe ilişkin belge ve bilgiler</w:t>
            </w:r>
          </w:p>
          <w:p w14:paraId="642BEF39" w14:textId="77777777" w:rsidR="0014291B" w:rsidRDefault="0014291B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dışı etkinliklerle ilgili öğrencilerden alınan geri bildirimler</w:t>
            </w:r>
          </w:p>
          <w:p w14:paraId="3AC74A1A" w14:textId="1AD08F5A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6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Ders dışı faaliyet duyurularının nasıl yapıldığına yönelik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79E1753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367A71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A8337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706C1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92E531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13553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5D5C7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54760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E5821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6049E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A3A3F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6F18FA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3ACE" w14:textId="0AE3509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B7CBB7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28890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1EDD0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971773B" w14:textId="77777777" w:rsidTr="006D5F0A">
        <w:tc>
          <w:tcPr>
            <w:tcW w:w="13994" w:type="dxa"/>
            <w:gridSpan w:val="3"/>
            <w:shd w:val="clear" w:color="auto" w:fill="17889B"/>
          </w:tcPr>
          <w:p w14:paraId="39624157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6. Öğrenci Desteği ve Hizmetleri</w:t>
            </w:r>
          </w:p>
        </w:tc>
      </w:tr>
      <w:tr w:rsidR="0014291B" w:rsidRPr="00797297" w14:paraId="1EFFAFD5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60F7D6FE" w14:textId="5DBD1EC5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6.3.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danışmanlığı</w:t>
            </w:r>
          </w:p>
        </w:tc>
      </w:tr>
      <w:tr w:rsidR="0014291B" w:rsidRPr="00797297" w14:paraId="720036A3" w14:textId="77777777" w:rsidTr="006D5F0A">
        <w:tc>
          <w:tcPr>
            <w:tcW w:w="4664" w:type="dxa"/>
            <w:shd w:val="clear" w:color="auto" w:fill="D6FDFF"/>
          </w:tcPr>
          <w:p w14:paraId="1575BF41" w14:textId="34252F88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136DA75" w14:textId="19B813F5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10679D0A" w14:textId="7F47DEA3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76F1B312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0D3CF94A" w14:textId="32FE719A" w:rsidR="0014291B" w:rsidRPr="0014212C" w:rsidRDefault="0014291B" w:rsidP="001421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Merkez/birim, öğrenim süreci boyunca öğrencilere akademik ve idari danışmanlık sunmaktadır.</w:t>
            </w:r>
          </w:p>
        </w:tc>
        <w:tc>
          <w:tcPr>
            <w:tcW w:w="4664" w:type="dxa"/>
            <w:vAlign w:val="center"/>
          </w:tcPr>
          <w:p w14:paraId="3D05770A" w14:textId="7292C49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Sağlık, güvenlik vb. konularda öğrencilere ayrıntılı bir şekilde bilgi verildiğine yönelik kanıtlar (toplantı tutanakları, e-posta vb.)</w:t>
            </w:r>
          </w:p>
          <w:p w14:paraId="069DA584" w14:textId="20265440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Öğrencilerin ihtiyaçları doğrultusunda uygun yönlendirme ve bilgilendirmelerin yapıldığına ilişkin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2198B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3350E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57BE9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DCAE7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C32EE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F4FF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9F582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A9F41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AB028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0D262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A7CDC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EC913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B40DF" w14:textId="0319ABE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94481B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366F5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A606E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D97A682" w14:textId="77777777" w:rsidTr="006D5F0A">
        <w:tc>
          <w:tcPr>
            <w:tcW w:w="13994" w:type="dxa"/>
            <w:gridSpan w:val="3"/>
            <w:shd w:val="clear" w:color="auto" w:fill="17889B"/>
          </w:tcPr>
          <w:p w14:paraId="1F07E98E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6. Öğrenci Desteği ve Hizmetleri</w:t>
            </w:r>
          </w:p>
        </w:tc>
      </w:tr>
      <w:tr w:rsidR="0014291B" w:rsidRPr="00797297" w14:paraId="3AA49C09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0DDB8C5E" w14:textId="38EBB0B1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6.4.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Özel gereksinimli öğrencilere yönelik hizmetler</w:t>
            </w:r>
          </w:p>
        </w:tc>
      </w:tr>
      <w:tr w:rsidR="0014291B" w:rsidRPr="00797297" w14:paraId="32B8940A" w14:textId="77777777" w:rsidTr="006D5F0A">
        <w:tc>
          <w:tcPr>
            <w:tcW w:w="4664" w:type="dxa"/>
            <w:shd w:val="clear" w:color="auto" w:fill="D6FDFF"/>
          </w:tcPr>
          <w:p w14:paraId="1AF7EF5C" w14:textId="04659660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 Maddesi</w:t>
            </w:r>
          </w:p>
        </w:tc>
        <w:tc>
          <w:tcPr>
            <w:tcW w:w="4664" w:type="dxa"/>
            <w:shd w:val="clear" w:color="auto" w:fill="D6FDFF"/>
          </w:tcPr>
          <w:p w14:paraId="34A66CF9" w14:textId="70DF928E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FAF4A0C" w14:textId="428C60EA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3435A08A" w14:textId="77777777" w:rsidTr="006D5F0A">
        <w:trPr>
          <w:trHeight w:val="889"/>
        </w:trPr>
        <w:tc>
          <w:tcPr>
            <w:tcW w:w="4664" w:type="dxa"/>
            <w:vAlign w:val="center"/>
          </w:tcPr>
          <w:p w14:paraId="11CA5E84" w14:textId="60364E76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Merkez/birim, özel gereksinimli öğrencilerin öğrenme-öğretme sürecini kolaylaştıracak fiziki koşullara sahiptir.  </w:t>
            </w:r>
          </w:p>
        </w:tc>
        <w:tc>
          <w:tcPr>
            <w:tcW w:w="4664" w:type="dxa"/>
            <w:vAlign w:val="center"/>
          </w:tcPr>
          <w:p w14:paraId="4A3941D7" w14:textId="7F1A3BA4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gereksinimli öğrenciler için fiziki </w:t>
            </w:r>
            <w:r w:rsidR="00C66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olanakların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belgeleri (fotoğraf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A8E9FC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E6ED6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D17E5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BD11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862B8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436A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B4E4FD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65ABE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24F1A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FBF14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08507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C93D54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AF207" w14:textId="025E9F8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7D3F33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FA2CF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1853C309" w14:textId="77777777" w:rsidTr="006D5F0A">
        <w:trPr>
          <w:trHeight w:val="1031"/>
        </w:trPr>
        <w:tc>
          <w:tcPr>
            <w:tcW w:w="4664" w:type="dxa"/>
            <w:vAlign w:val="center"/>
          </w:tcPr>
          <w:p w14:paraId="7960049B" w14:textId="6658E1AE" w:rsid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Merkez/birim, özel gereksinimli öğrencilerin sınavlarında gerekli personel ve materyal temini sağlamaktadır. </w:t>
            </w:r>
          </w:p>
        </w:tc>
        <w:tc>
          <w:tcPr>
            <w:tcW w:w="4664" w:type="dxa"/>
            <w:vAlign w:val="center"/>
          </w:tcPr>
          <w:p w14:paraId="739DA0A5" w14:textId="41AB4C03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Özel gereksinimli öğrencilere dil öğrenimi süreçlerinde destek olması amacıyla görevlendirilen personele yönelik belgeler (resmî yazı vb.) ile araç ve gereçlere ilişkin açıklamalar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2F362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92545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5DE15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FD98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2D5CB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EF4A9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B15CB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E1A3D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FAEC5E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EEB36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09DDCD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53E03A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03847" w14:textId="457A5D6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A1BBE4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E131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BEAD37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5F941040" w14:textId="77777777" w:rsidTr="006D5F0A">
        <w:tc>
          <w:tcPr>
            <w:tcW w:w="13994" w:type="dxa"/>
            <w:gridSpan w:val="3"/>
            <w:shd w:val="clear" w:color="auto" w:fill="17889B"/>
          </w:tcPr>
          <w:p w14:paraId="6312B419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6. Öğrenci Desteği ve Hizmetleri</w:t>
            </w:r>
          </w:p>
        </w:tc>
      </w:tr>
      <w:tr w:rsidR="0014291B" w:rsidRPr="00797297" w14:paraId="15CB15F7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4E405A0A" w14:textId="7A7960B7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6.5.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memnuniyeti</w:t>
            </w:r>
          </w:p>
        </w:tc>
      </w:tr>
      <w:tr w:rsidR="0014291B" w:rsidRPr="00797297" w14:paraId="58EAB7B1" w14:textId="77777777" w:rsidTr="006D5F0A">
        <w:tc>
          <w:tcPr>
            <w:tcW w:w="4664" w:type="dxa"/>
            <w:shd w:val="clear" w:color="auto" w:fill="D6FDFF"/>
          </w:tcPr>
          <w:p w14:paraId="2D8FA0F9" w14:textId="0E5878FE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 Maddesi</w:t>
            </w:r>
          </w:p>
        </w:tc>
        <w:tc>
          <w:tcPr>
            <w:tcW w:w="4664" w:type="dxa"/>
            <w:shd w:val="clear" w:color="auto" w:fill="D6FDFF"/>
          </w:tcPr>
          <w:p w14:paraId="7A1F3A7C" w14:textId="6D65A1ED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1B139292" w14:textId="2A22A073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43418072" w14:textId="77777777" w:rsidTr="006D5F0A">
        <w:trPr>
          <w:trHeight w:val="959"/>
        </w:trPr>
        <w:tc>
          <w:tcPr>
            <w:tcW w:w="4664" w:type="dxa"/>
            <w:vAlign w:val="center"/>
          </w:tcPr>
          <w:p w14:paraId="3F95D42C" w14:textId="7AD6CE03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öğrencilere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resm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î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olarak dilek, şikâyet ve önerilerini bildirecekleri imkânlar sunar. </w:t>
            </w:r>
          </w:p>
        </w:tc>
        <w:tc>
          <w:tcPr>
            <w:tcW w:w="4664" w:type="dxa"/>
            <w:vAlign w:val="center"/>
          </w:tcPr>
          <w:p w14:paraId="119CC09B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Yazılı veya sözlü dilek, şikâyet ve önerilere yönelik prosedürler</w:t>
            </w:r>
          </w:p>
          <w:p w14:paraId="71F971C6" w14:textId="502F9B6B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b. Öğrencilerden gelen dilek, şikâyet ve önerilerin çözümlerinin kayıtlarına ilişkin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C56B2E6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D7236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19C7E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B86ED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D80D9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32FF0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120A7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BC766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517ED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211152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464DB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519EF2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99872" w14:textId="5BA0DE3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85A140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EB850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0DF47AF2" w14:textId="77777777" w:rsidTr="006D5F0A">
        <w:trPr>
          <w:trHeight w:val="845"/>
        </w:trPr>
        <w:tc>
          <w:tcPr>
            <w:tcW w:w="4664" w:type="dxa"/>
            <w:vAlign w:val="center"/>
          </w:tcPr>
          <w:p w14:paraId="1157F709" w14:textId="00C2EC33" w:rsid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E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öğrencilerin dilek, şikâyet ve önerilerine ilişkin kayıtları değerlendirerek geri bildirim ve çözümler sunar.</w:t>
            </w:r>
          </w:p>
        </w:tc>
        <w:tc>
          <w:tcPr>
            <w:tcW w:w="4664" w:type="dxa"/>
            <w:vAlign w:val="center"/>
          </w:tcPr>
          <w:p w14:paraId="5A540730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Öğrenci memnuniyet anketi verileri</w:t>
            </w:r>
          </w:p>
          <w:p w14:paraId="76ACE065" w14:textId="23BC101D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b. Öğrencilerle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BCE297E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2BDFB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D670E0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9143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0E162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19D55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BE6C2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EBA09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214E0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5F70D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1D10C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F1A914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33338" w14:textId="72665A3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210C59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97182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E6F0A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0E86741" w14:textId="77777777" w:rsidTr="006D5F0A">
        <w:tc>
          <w:tcPr>
            <w:tcW w:w="13994" w:type="dxa"/>
            <w:gridSpan w:val="3"/>
            <w:shd w:val="clear" w:color="auto" w:fill="17889B"/>
          </w:tcPr>
          <w:p w14:paraId="6C75DE92" w14:textId="51DA3766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7. Ölçme ve Değerlendirme </w:t>
            </w:r>
          </w:p>
        </w:tc>
      </w:tr>
      <w:tr w:rsidR="0014291B" w:rsidRPr="00797297" w14:paraId="697E7BAA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6ECDD558" w14:textId="022559FC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Ölçme ve değerlendirme uygulamaları</w:t>
            </w:r>
          </w:p>
        </w:tc>
      </w:tr>
      <w:tr w:rsidR="0014291B" w:rsidRPr="00797297" w14:paraId="5762FBC5" w14:textId="77777777" w:rsidTr="006D5F0A">
        <w:tc>
          <w:tcPr>
            <w:tcW w:w="4664" w:type="dxa"/>
            <w:shd w:val="clear" w:color="auto" w:fill="D6FDFF"/>
          </w:tcPr>
          <w:p w14:paraId="538311CA" w14:textId="67578B88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64E524A" w14:textId="5599EA50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5B7CDE7" w14:textId="45D4F26C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71CE81E5" w14:textId="77777777" w:rsidTr="006D5F0A">
        <w:trPr>
          <w:trHeight w:val="881"/>
        </w:trPr>
        <w:tc>
          <w:tcPr>
            <w:tcW w:w="4664" w:type="dxa"/>
            <w:vAlign w:val="center"/>
          </w:tcPr>
          <w:p w14:paraId="3B6F9D1F" w14:textId="4972777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1. Merkezin/birimin, kur atlama ve belgelendirme ile ilgili süreç ve ölçütleri açıkça ifade eden bir sınav yönergesi vardır.</w:t>
            </w:r>
          </w:p>
        </w:tc>
        <w:tc>
          <w:tcPr>
            <w:tcW w:w="4664" w:type="dxa"/>
            <w:vAlign w:val="center"/>
          </w:tcPr>
          <w:p w14:paraId="3E949653" w14:textId="1DAA4852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Merkezin/birimin sınav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yönergesi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ABA2D6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564E4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A04A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5D2F0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BE10B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8830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ABE3D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F53972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4D9EFF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D766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D85A28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36CA0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35388" w14:textId="0117355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6E843F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7BBDA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23B9DF3F" w14:textId="77777777" w:rsidTr="006D5F0A">
        <w:trPr>
          <w:trHeight w:val="959"/>
        </w:trPr>
        <w:tc>
          <w:tcPr>
            <w:tcW w:w="4664" w:type="dxa"/>
            <w:vAlign w:val="center"/>
          </w:tcPr>
          <w:p w14:paraId="0D2D8717" w14:textId="0C817288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Merkez/birim, kabul şartlarına uygun ve öğrencilerin düzeylere göre sınıflandırılmasını sağlayan bir yerleştirme sistemine sahiptir.</w:t>
            </w:r>
          </w:p>
        </w:tc>
        <w:tc>
          <w:tcPr>
            <w:tcW w:w="4664" w:type="dxa"/>
            <w:vAlign w:val="center"/>
          </w:tcPr>
          <w:p w14:paraId="26A43FD2" w14:textId="418FE350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Seviye tespit</w:t>
            </w:r>
            <w:r w:rsidR="001157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yeterlik ve kur geçme sınavlarına ilişkin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45C6F47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8490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3B4178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F6CC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D1FFC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F1597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A5391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314C8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F620F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0205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894ED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925E8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2802C" w14:textId="79BA7493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83C03F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11330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9D71C80" w14:textId="77777777" w:rsidTr="006D5F0A">
        <w:trPr>
          <w:trHeight w:val="850"/>
        </w:trPr>
        <w:tc>
          <w:tcPr>
            <w:tcW w:w="4664" w:type="dxa"/>
            <w:vAlign w:val="center"/>
          </w:tcPr>
          <w:p w14:paraId="5FC01294" w14:textId="324CFA95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Ölçme ve değerlendirme faaliyetleri öğrenmeyi teşvik eder ve öğrencilere dil yetkinliklerini nasıl geliştirecekleri hususunda geribildirim ve rehberlik sağlamak için kullanılır. </w:t>
            </w:r>
          </w:p>
        </w:tc>
        <w:tc>
          <w:tcPr>
            <w:tcW w:w="4664" w:type="dxa"/>
            <w:vAlign w:val="center"/>
          </w:tcPr>
          <w:p w14:paraId="66959C9E" w14:textId="5D13812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 sonuçlarına yönelik raporlar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4239EA0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1709E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86B4C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529D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77C384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8708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E65BB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FCC98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6F41D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10FB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C96E6D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58941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FBE40" w14:textId="72D53E0D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E824C8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645F9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32E763C3" w14:textId="77777777" w:rsidTr="006D5F0A">
        <w:trPr>
          <w:trHeight w:val="847"/>
        </w:trPr>
        <w:tc>
          <w:tcPr>
            <w:tcW w:w="4664" w:type="dxa"/>
            <w:vAlign w:val="center"/>
          </w:tcPr>
          <w:p w14:paraId="1C67FBF1" w14:textId="3D44AC86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ve değerlendirme faaliyetlerinin amaca uygun devam etmesini sağlayan düzenli gözden geçirme ve değerlendirme sistemleri vardır.</w:t>
            </w:r>
          </w:p>
        </w:tc>
        <w:tc>
          <w:tcPr>
            <w:tcW w:w="4664" w:type="dxa"/>
            <w:vAlign w:val="center"/>
          </w:tcPr>
          <w:p w14:paraId="5C39027F" w14:textId="6B7687CD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Soru yazarları, sınav uygulayıcıları ve değerlendirmeden sorumlu kişilerle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C1EE27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7BEC8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D1E17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6693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43EF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156A6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3C01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D1C5E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47434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91774D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3EB7C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7E2D8F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9EDCC" w14:textId="6BFD633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61466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1B9F3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5304A73B" w14:textId="77777777" w:rsidTr="006D5F0A">
        <w:trPr>
          <w:trHeight w:val="703"/>
        </w:trPr>
        <w:tc>
          <w:tcPr>
            <w:tcW w:w="4664" w:type="dxa"/>
            <w:vAlign w:val="center"/>
          </w:tcPr>
          <w:p w14:paraId="1A5A1705" w14:textId="539C5AF3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5. </w:t>
            </w: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Ölçme değerlendirme uygulamalarında özel gereksinimli öğrenciler için destek verilir. </w:t>
            </w:r>
          </w:p>
        </w:tc>
        <w:tc>
          <w:tcPr>
            <w:tcW w:w="4664" w:type="dxa"/>
            <w:vAlign w:val="center"/>
          </w:tcPr>
          <w:p w14:paraId="4B705D28" w14:textId="1F0D12F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Özel gereksinimli öğrencilerin durumlarına uygun görevlendirilen personele ilişkin resmî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A9894D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B9A3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7D30E9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6E4BA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FE06B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926D9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F82B5E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48887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4BC6E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E3DA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F3307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A0516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FC56F" w14:textId="570EC08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73B6296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B634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A8B12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6FD71AA" w14:textId="77777777" w:rsidTr="006D5F0A">
        <w:tc>
          <w:tcPr>
            <w:tcW w:w="13994" w:type="dxa"/>
            <w:gridSpan w:val="3"/>
            <w:shd w:val="clear" w:color="auto" w:fill="17889B"/>
          </w:tcPr>
          <w:p w14:paraId="4D797154" w14:textId="77777777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7. Ölçme ve Değerlendirme </w:t>
            </w:r>
          </w:p>
        </w:tc>
      </w:tr>
      <w:tr w:rsidR="0014291B" w:rsidRPr="00797297" w14:paraId="5364A161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03FE71E9" w14:textId="09D33461" w:rsidR="0014291B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Ölçme araçlarının</w:t>
            </w:r>
            <w:r w:rsidR="000F01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0F01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sınavların yapısı</w:t>
            </w:r>
          </w:p>
        </w:tc>
      </w:tr>
      <w:tr w:rsidR="0014291B" w:rsidRPr="00797297" w14:paraId="44AFE1E8" w14:textId="77777777" w:rsidTr="006D5F0A">
        <w:tc>
          <w:tcPr>
            <w:tcW w:w="4664" w:type="dxa"/>
            <w:shd w:val="clear" w:color="auto" w:fill="D6FDFF"/>
          </w:tcPr>
          <w:p w14:paraId="03E0D2EC" w14:textId="64833C92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6308507E" w14:textId="42F3798E" w:rsidR="0014291B" w:rsidRPr="00F969F6" w:rsidRDefault="0014291B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5104EAC8" w14:textId="706BCD00" w:rsidR="0014291B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6103BAD4" w14:textId="77777777" w:rsidTr="006D5F0A">
        <w:trPr>
          <w:trHeight w:val="1007"/>
        </w:trPr>
        <w:tc>
          <w:tcPr>
            <w:tcW w:w="4664" w:type="dxa"/>
            <w:vAlign w:val="center"/>
          </w:tcPr>
          <w:p w14:paraId="2A7A66A9" w14:textId="4F814550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1. Sınavlar, Diller için Avrupa Ortak Başvuru 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Metni’nde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belirtilen düzeyler ve yeterlilikler göz önünde bulundurularak dört temel dil becerisini kapsayacak biçimde gerçekleştirilir. </w:t>
            </w:r>
          </w:p>
        </w:tc>
        <w:tc>
          <w:tcPr>
            <w:tcW w:w="4664" w:type="dxa"/>
            <w:vAlign w:val="center"/>
          </w:tcPr>
          <w:p w14:paraId="72A8AE5F" w14:textId="7D78A0C1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Ölçme-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azanım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enklik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ablosu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(bkz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Ek-2)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33E755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2A45F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6EDBE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A3B04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7ADBDA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50815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E7D99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8603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73FD02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62280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4B232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27D43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D409" w14:textId="56CB79D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94754E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67A6E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CC53C06" w14:textId="77777777" w:rsidTr="006D5F0A">
        <w:trPr>
          <w:trHeight w:val="713"/>
        </w:trPr>
        <w:tc>
          <w:tcPr>
            <w:tcW w:w="4664" w:type="dxa"/>
            <w:vAlign w:val="center"/>
          </w:tcPr>
          <w:p w14:paraId="6723544B" w14:textId="6E52D3AD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Sınav evrakında sınavın amacı, hedef kitlesi, içeriği, bölümleri ve puanlamasıyla ilgili açıklamalar yapılır. </w:t>
            </w:r>
          </w:p>
        </w:tc>
        <w:tc>
          <w:tcPr>
            <w:tcW w:w="4664" w:type="dxa"/>
            <w:vAlign w:val="center"/>
          </w:tcPr>
          <w:p w14:paraId="46063E1B" w14:textId="40548CD8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Sınavın amacının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hedef kitlesinin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, içeriğinin, bölümlerinin ve puanlamasının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belirtil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diği örnek sınav evrakı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EF6F9B2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0920B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DCB1E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57DF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A33656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C68EB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C5CE7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282E1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77D5C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408E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AB223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3D5EB0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5F1FD" w14:textId="133AEE0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941423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977C8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012CDC88" w14:textId="77777777" w:rsidTr="006D5F0A">
        <w:trPr>
          <w:trHeight w:val="850"/>
        </w:trPr>
        <w:tc>
          <w:tcPr>
            <w:tcW w:w="4664" w:type="dxa"/>
            <w:vAlign w:val="center"/>
          </w:tcPr>
          <w:p w14:paraId="459CA27F" w14:textId="5FDBDEC2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Sınavların hazırlanması aşamasında görevli uzmanların seçiminde dikkat edilen ölçütler vardır.</w:t>
            </w:r>
          </w:p>
        </w:tc>
        <w:tc>
          <w:tcPr>
            <w:tcW w:w="4664" w:type="dxa"/>
            <w:vAlign w:val="center"/>
          </w:tcPr>
          <w:p w14:paraId="3B11C3BC" w14:textId="72132A9A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Sınav hazırlayıcı ve değerlendiricilerinin neye göre seçildiğine ilişkin belgeler (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. Soru hazırlama eğitimi alma, konuyla ilgili yüksek lisans 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 xml:space="preserve">yapmış olma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vb.)</w:t>
            </w:r>
          </w:p>
          <w:p w14:paraId="2512C6B1" w14:textId="156F6A6F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b. Her bir sınav için belirtke tablolarının beyanı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DE69BFD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79600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9E74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F508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84145D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2202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2D64D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5602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89A686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6A3E53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89CAEB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2FAEAA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9469C" w14:textId="68C61C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1E6BA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D44FF" w14:textId="77777777" w:rsidR="0014291B" w:rsidRPr="00532FF2" w:rsidRDefault="0014291B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DA7C1" w14:textId="77777777" w:rsidR="0014291B" w:rsidRDefault="0014291B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F537B7" w:rsidRPr="00797297" w14:paraId="3424D46B" w14:textId="77777777" w:rsidTr="006D5F0A">
        <w:tc>
          <w:tcPr>
            <w:tcW w:w="13994" w:type="dxa"/>
            <w:gridSpan w:val="3"/>
            <w:shd w:val="clear" w:color="auto" w:fill="17889B"/>
          </w:tcPr>
          <w:p w14:paraId="7DA16822" w14:textId="77777777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7. Ölçme ve Değerlendirme </w:t>
            </w:r>
          </w:p>
        </w:tc>
      </w:tr>
      <w:tr w:rsidR="00F537B7" w:rsidRPr="00797297" w14:paraId="07F78FF4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03F5CE4A" w14:textId="695CB7D6" w:rsidR="00F537B7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7.3. </w:t>
            </w:r>
            <w:r w:rsidR="00F5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sonuçlarının belirlenmesi</w:t>
            </w:r>
          </w:p>
        </w:tc>
      </w:tr>
      <w:tr w:rsidR="00F537B7" w:rsidRPr="00797297" w14:paraId="556F57AB" w14:textId="77777777" w:rsidTr="006D5F0A">
        <w:tc>
          <w:tcPr>
            <w:tcW w:w="4664" w:type="dxa"/>
            <w:shd w:val="clear" w:color="auto" w:fill="D6FDFF"/>
          </w:tcPr>
          <w:p w14:paraId="319D35F6" w14:textId="31D831AA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772BED1D" w14:textId="0FC5F5B3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B346E10" w14:textId="2B03B5B4" w:rsidR="00F537B7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F537B7" w:rsidRPr="00797297" w14:paraId="6B34C380" w14:textId="77777777" w:rsidTr="006D5F0A">
        <w:trPr>
          <w:trHeight w:val="817"/>
        </w:trPr>
        <w:tc>
          <w:tcPr>
            <w:tcW w:w="4664" w:type="dxa"/>
            <w:vAlign w:val="center"/>
          </w:tcPr>
          <w:p w14:paraId="2B831EB4" w14:textId="2E8AE618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1. Sınav sonuçlarının geçerli ve güvenilir olduğunun kanıtlanması için analizler yapılır, analizler ile ilgili </w:t>
            </w:r>
            <w:r w:rsidRPr="00F5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kapsamlı raporlar hazırlanır. </w:t>
            </w:r>
          </w:p>
        </w:tc>
        <w:tc>
          <w:tcPr>
            <w:tcW w:w="4664" w:type="dxa"/>
            <w:vAlign w:val="center"/>
          </w:tcPr>
          <w:p w14:paraId="378565CF" w14:textId="21A9E42A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Sınav sonuçlarının geçerlik ve güvenirliğine ilişkin analiz raporları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9DADB23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85E7E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C1693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9210E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4387C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618EA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4E991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F7494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67171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1754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F0910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C15D0C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6BD34" w14:textId="53CFDFB6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3C5511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F8EC4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5C417698" w14:textId="77777777" w:rsidTr="006D5F0A">
        <w:trPr>
          <w:trHeight w:val="713"/>
        </w:trPr>
        <w:tc>
          <w:tcPr>
            <w:tcW w:w="4664" w:type="dxa"/>
            <w:vAlign w:val="center"/>
          </w:tcPr>
          <w:p w14:paraId="623CFE95" w14:textId="3A1ABB29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Üretime dayalı becerilerin değerlendirilmesinde </w:t>
            </w:r>
            <w:proofErr w:type="spellStart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kullanılmak</w:t>
            </w:r>
            <w:proofErr w:type="spellEnd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üzere</w:t>
            </w:r>
            <w:proofErr w:type="spellEnd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 araçlar hazırlanmıştır (dereceli puanlama anahtarı vb.). </w:t>
            </w:r>
          </w:p>
        </w:tc>
        <w:tc>
          <w:tcPr>
            <w:tcW w:w="4664" w:type="dxa"/>
            <w:vAlign w:val="center"/>
          </w:tcPr>
          <w:p w14:paraId="5E1E9F96" w14:textId="5C8C6221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becerilerin ölçülmesinde kullanılan değerlendirme araçları (dereceli puanlama anahtarı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BE0CBA8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3C52A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E0740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4CF1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DD4DC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A2E01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20C567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E5DA8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A0DD3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8842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96752D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9F1BA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EC137" w14:textId="0725E50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497167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D34DA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2C781C67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566F9888" w14:textId="62FDB210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becerilerde değerlendiriciler arası tutar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lığı sağlamaya yönelik prosedürler vardır. </w:t>
            </w:r>
          </w:p>
        </w:tc>
        <w:tc>
          <w:tcPr>
            <w:tcW w:w="4664" w:type="dxa"/>
            <w:vAlign w:val="center"/>
          </w:tcPr>
          <w:p w14:paraId="10E3057B" w14:textId="69E2FADF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dil becerilerine ilişkin örnek sınav değerlendirme evrakı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C83CF7E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34602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FD48A0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C071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CD24AB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A88B2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938CEA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5BED0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8A0E6A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FBD8F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24CA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BBEC2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EF2F9" w14:textId="61F1751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89C28C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5F3D5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825B30" w14:textId="77777777" w:rsidR="00F537B7" w:rsidRDefault="00F537B7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F537B7" w:rsidRPr="00797297" w14:paraId="52388783" w14:textId="77777777" w:rsidTr="006D5F0A">
        <w:tc>
          <w:tcPr>
            <w:tcW w:w="13994" w:type="dxa"/>
            <w:gridSpan w:val="3"/>
            <w:shd w:val="clear" w:color="auto" w:fill="17889B"/>
          </w:tcPr>
          <w:p w14:paraId="044B278A" w14:textId="77777777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7. Ölçme ve Değerlendirme </w:t>
            </w:r>
          </w:p>
        </w:tc>
      </w:tr>
      <w:tr w:rsidR="00F537B7" w:rsidRPr="00797297" w14:paraId="4DB9FECB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5DB39723" w14:textId="46BB3F27" w:rsidR="00F537B7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7.4. </w:t>
            </w:r>
            <w:r w:rsidR="00F5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Belgelendirme</w:t>
            </w:r>
          </w:p>
        </w:tc>
      </w:tr>
      <w:tr w:rsidR="00F537B7" w:rsidRPr="00797297" w14:paraId="27732680" w14:textId="77777777" w:rsidTr="006D5F0A">
        <w:tc>
          <w:tcPr>
            <w:tcW w:w="4664" w:type="dxa"/>
            <w:shd w:val="clear" w:color="auto" w:fill="D6FDFF"/>
          </w:tcPr>
          <w:p w14:paraId="373A3E3C" w14:textId="50C1FB43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5072661A" w14:textId="16EA4021" w:rsidR="00F537B7" w:rsidRPr="00F969F6" w:rsidRDefault="00F537B7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4FC3D946" w14:textId="72BF6377" w:rsidR="00F537B7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F537B7" w:rsidRPr="00797297" w14:paraId="50EA6E9E" w14:textId="77777777" w:rsidTr="006D5F0A">
        <w:trPr>
          <w:trHeight w:val="817"/>
        </w:trPr>
        <w:tc>
          <w:tcPr>
            <w:tcW w:w="4664" w:type="dxa"/>
            <w:vAlign w:val="center"/>
          </w:tcPr>
          <w:p w14:paraId="0798CEB3" w14:textId="4F012B2F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Merkez/birim, öğretim programı kapsamında öğrencilerin başarı durumlarını yazılı olarak belgeler.</w:t>
            </w:r>
          </w:p>
        </w:tc>
        <w:tc>
          <w:tcPr>
            <w:tcW w:w="4664" w:type="dxa"/>
            <w:vAlign w:val="center"/>
          </w:tcPr>
          <w:p w14:paraId="0C3E6679" w14:textId="109D7DA8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Sınav sonucunun yazılı kaydını/belgesini isteyen öğrencilere verilen belgelerin örnekleri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E50825A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357D2B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B3C05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8A0A1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568ACB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BB5D9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A6687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A607E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2F3B1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9E212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0E00C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A5B40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92C36" w14:textId="0D03B2DD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E221D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E156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023E69C4" w14:textId="77777777" w:rsidTr="006D5F0A">
        <w:trPr>
          <w:trHeight w:val="713"/>
        </w:trPr>
        <w:tc>
          <w:tcPr>
            <w:tcW w:w="4664" w:type="dxa"/>
            <w:vAlign w:val="center"/>
          </w:tcPr>
          <w:p w14:paraId="4CA27D16" w14:textId="0A03CDF7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Merkezde/birimde yapılan her bir sınav için öğrencilerin ilgili düzeyde asgari %70 oranında başarı puanı alması gerekir.</w:t>
            </w:r>
          </w:p>
        </w:tc>
        <w:tc>
          <w:tcPr>
            <w:tcW w:w="4664" w:type="dxa"/>
            <w:vAlign w:val="center"/>
          </w:tcPr>
          <w:p w14:paraId="3CD516FD" w14:textId="04EA5E91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İlgili düzeydeki yeterlikleri esas alan sınavda başarının %70 olduğunu gösteren belge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096FD3B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DD4E03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AAACC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573B2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2A2F3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5411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438965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9EB46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1EBCD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2BDA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37953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B7D73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6438" w14:textId="4642D575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DD1AE9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FB563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79D4AC7C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2F6C2CAA" w14:textId="4436EBE0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Öğrencilere verilen belgeler ve sertifikalar, öğrencilerin dil düzeyleri, dersin amaçları ve içeriği doğrultusunda gösterdikleri başarıları ayrıntılı olarak ortaya koyar.</w:t>
            </w:r>
          </w:p>
        </w:tc>
        <w:tc>
          <w:tcPr>
            <w:tcW w:w="4664" w:type="dxa"/>
            <w:vAlign w:val="center"/>
          </w:tcPr>
          <w:p w14:paraId="63FA52E5" w14:textId="2E3A8D8F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Her bir düzeyden ve beceriden aldıkları puanı ayrıntılı olarak gösteren belge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9F1559F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02355B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69CCB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8318B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FBC77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39C3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F0364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02ED5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FB018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19D83D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2D7C0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A6EAD2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646DB" w14:textId="7265CBA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D08F92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B0392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653438B4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47477969" w14:textId="09CB2EAF" w:rsidR="00F537B7" w:rsidRPr="00F537B7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başka merkezlerden/birimlerden alınmış belgelerin kabulü için belirlenmiş ölçüt ve prosedürleri vardır. </w:t>
            </w:r>
          </w:p>
        </w:tc>
        <w:tc>
          <w:tcPr>
            <w:tcW w:w="4664" w:type="dxa"/>
            <w:vAlign w:val="center"/>
          </w:tcPr>
          <w:p w14:paraId="1C09933A" w14:textId="45387A5C" w:rsidR="00F537B7" w:rsidRPr="00F537B7" w:rsidRDefault="00F537B7" w:rsidP="003469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Başka merkezlerden/birimlerden alınan belgelerin kabulü ile ilgili prosedür, belge, yazışma, yönetim kurulu kararı vb. 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8EE5AD2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C4C27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08DEE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015B3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B9054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AFEFE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37F80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D77B1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3EA20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F5AE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73149F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B1F13F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BC60" w14:textId="378131F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4E36EB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1E8FE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05D1F33A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4EF93E33" w14:textId="52CAAC0A" w:rsidR="00F537B7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Öğretim süreci dışında yapılan (kurumlar arası protokoller, çeşitli kişisel veya grup halindeki başvurular vb.) sınavların içeriği ve uygulanış biçimi ölçme ve değerlendirme ilkelerine uygundur. </w:t>
            </w:r>
          </w:p>
        </w:tc>
        <w:tc>
          <w:tcPr>
            <w:tcW w:w="4664" w:type="dxa"/>
            <w:vAlign w:val="center"/>
          </w:tcPr>
          <w:p w14:paraId="4AD41B4B" w14:textId="55D0E4FE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bCs/>
                <w:sz w:val="20"/>
                <w:szCs w:val="20"/>
              </w:rPr>
              <w:t>Öğretim süreci dışında yapılan sınav örnekleri, protokoller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877F7AA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41B33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2818E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44A1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6E59C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1B1682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DF4E2C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6ADB5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1141B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B5FF4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B3201B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D64DAB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8AEC0" w14:textId="5400A32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0C4BBA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7F43F" w14:textId="77777777" w:rsidR="00F537B7" w:rsidRPr="00532FF2" w:rsidRDefault="00F537B7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B53B" w14:textId="77777777" w:rsidR="00F537B7" w:rsidRDefault="00F537B7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D96FD9" w:rsidRPr="00797297" w14:paraId="58F5456B" w14:textId="77777777" w:rsidTr="006D5F0A">
        <w:tc>
          <w:tcPr>
            <w:tcW w:w="13994" w:type="dxa"/>
            <w:gridSpan w:val="3"/>
            <w:shd w:val="clear" w:color="auto" w:fill="17889B"/>
          </w:tcPr>
          <w:p w14:paraId="5966D48F" w14:textId="77777777" w:rsidR="00D96FD9" w:rsidRPr="00F969F6" w:rsidRDefault="00D96FD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7. Ölçme ve Değerlendirme </w:t>
            </w:r>
          </w:p>
        </w:tc>
      </w:tr>
      <w:tr w:rsidR="00D96FD9" w:rsidRPr="00797297" w14:paraId="27B607C5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5475010C" w14:textId="28DBAF7E" w:rsidR="00D96FD9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7.5. </w:t>
            </w:r>
            <w:r w:rsidR="00D96F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Öğrencilerin bilgilendirilmesi</w:t>
            </w:r>
          </w:p>
        </w:tc>
      </w:tr>
      <w:tr w:rsidR="00D96FD9" w:rsidRPr="00797297" w14:paraId="0E06C078" w14:textId="77777777" w:rsidTr="006D5F0A">
        <w:tc>
          <w:tcPr>
            <w:tcW w:w="4664" w:type="dxa"/>
            <w:shd w:val="clear" w:color="auto" w:fill="D6FDFF"/>
          </w:tcPr>
          <w:p w14:paraId="5A76A00C" w14:textId="0C1A24DF" w:rsidR="00D96FD9" w:rsidRPr="00F969F6" w:rsidRDefault="00D96FD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13E6C5D4" w14:textId="0B2B2358" w:rsidR="00D96FD9" w:rsidRPr="00F969F6" w:rsidRDefault="00D96FD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174004D9" w14:textId="6563C3E3" w:rsidR="00D96FD9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D96FD9" w:rsidRPr="00797297" w14:paraId="537D1274" w14:textId="77777777" w:rsidTr="006D5F0A">
        <w:trPr>
          <w:trHeight w:val="817"/>
        </w:trPr>
        <w:tc>
          <w:tcPr>
            <w:tcW w:w="4664" w:type="dxa"/>
            <w:vAlign w:val="center"/>
          </w:tcPr>
          <w:p w14:paraId="34126195" w14:textId="7346D69B" w:rsidR="00D96FD9" w:rsidRPr="0014291B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Öğretim süreci sonunda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uygulanan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sonucunun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temsil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ettiği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düzeyi açıkça gösteren yazılı belge hazırlanır ve öğrencilerle paylaşılır.</w:t>
            </w:r>
          </w:p>
        </w:tc>
        <w:tc>
          <w:tcPr>
            <w:tcW w:w="4664" w:type="dxa"/>
            <w:vAlign w:val="center"/>
          </w:tcPr>
          <w:p w14:paraId="40366E7D" w14:textId="49EDDA96" w:rsidR="00D96FD9" w:rsidRPr="0014291B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Sınav sonuçlarının temsil ettiği beceri yetkinliği ile ilgili öğrencilerin bilgilendirildiğine yönelik kanıtlar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F2BCEE1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F5EC8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249A1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DC108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1772AD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3B3715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60F09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9FB50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94B8B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21472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1B4C6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AC84C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F7813" w14:textId="4F7EF16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E5E55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97B1" w14:textId="77777777" w:rsidR="00D96FD9" w:rsidRPr="00532FF2" w:rsidRDefault="00D96FD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5BF6508E" w14:textId="77777777" w:rsidTr="006D5F0A">
        <w:trPr>
          <w:trHeight w:val="713"/>
        </w:trPr>
        <w:tc>
          <w:tcPr>
            <w:tcW w:w="4664" w:type="dxa"/>
            <w:vAlign w:val="center"/>
          </w:tcPr>
          <w:p w14:paraId="0039CBFB" w14:textId="791DFCF1" w:rsidR="00D96FD9" w:rsidRPr="0014291B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96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Öğrenciler, merkezde/birimde katıldıkları sınavın türüne uygun olarak sonuçlar hakkında uygun zaman aralığında bilgilendirilir.</w:t>
            </w:r>
          </w:p>
        </w:tc>
        <w:tc>
          <w:tcPr>
            <w:tcW w:w="4664" w:type="dxa"/>
            <w:vAlign w:val="center"/>
          </w:tcPr>
          <w:p w14:paraId="4113DD80" w14:textId="6B985C6A" w:rsidR="00D96FD9" w:rsidRPr="0014212C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Öğrencilere sınav sonuçlarının tarafsız ve zamanında duyurulduğuna </w:t>
            </w:r>
            <w:r w:rsidR="00683E12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EB64214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3FE5A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FDC3E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579E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593C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D67CB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1FB4A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06EDC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7FD8D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51F0EF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38DB7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111C6B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239D1" w14:textId="3B087BB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A70FC1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54C8B" w14:textId="77777777" w:rsidR="00D96FD9" w:rsidRPr="00532FF2" w:rsidRDefault="00D96FD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78356C88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137D2C2F" w14:textId="0E7DA124" w:rsidR="00D96FD9" w:rsidRPr="00D96FD9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6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D96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Merkezde/birimde uygulanan sınavın türü ne olursa olsun sınavlarla ilgili itirazlar titizlikle değerlendirilip ilgili öğrenciler bilgilendirilir.</w:t>
            </w:r>
          </w:p>
        </w:tc>
        <w:tc>
          <w:tcPr>
            <w:tcW w:w="4664" w:type="dxa"/>
            <w:vAlign w:val="center"/>
          </w:tcPr>
          <w:p w14:paraId="4414BD53" w14:textId="23F8B81E" w:rsidR="00D96FD9" w:rsidRPr="00D96FD9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Sınav süreci ve sonuçlarıyla ilgili </w:t>
            </w:r>
            <w:r w:rsidR="007E46D9">
              <w:rPr>
                <w:rFonts w:ascii="Times New Roman" w:hAnsi="Times New Roman" w:cs="Times New Roman"/>
                <w:sz w:val="20"/>
                <w:szCs w:val="20"/>
              </w:rPr>
              <w:t xml:space="preserve">itirazlara ilişkin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bilgilerin nasıl alınabileceğine yönelik bilgi</w:t>
            </w:r>
            <w:r w:rsidR="007E46D9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C9DCC7C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B84C1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06B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F5519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EBDBC6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FF15F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9E233C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5E8A66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94523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7EFD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EDF6E7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CBA712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5047F" w14:textId="10C6F09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ADA4FA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FE01B" w14:textId="77777777" w:rsidR="00D96FD9" w:rsidRPr="00532FF2" w:rsidRDefault="00D96FD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5EDDFCB1" w14:textId="77777777" w:rsidTr="006D5F0A">
        <w:trPr>
          <w:trHeight w:val="585"/>
        </w:trPr>
        <w:tc>
          <w:tcPr>
            <w:tcW w:w="4664" w:type="dxa"/>
            <w:vAlign w:val="center"/>
          </w:tcPr>
          <w:p w14:paraId="04BE061B" w14:textId="27C3669E" w:rsidR="00D96FD9" w:rsidRPr="00D96FD9" w:rsidRDefault="00096FA8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4. Merkez/birim, başka merkezlerin/birimlerin düzenlediği belgelerle ilgili iş ve işlemleri gösteren prosedür ve yönergelere sahiptir.</w:t>
            </w:r>
          </w:p>
        </w:tc>
        <w:tc>
          <w:tcPr>
            <w:tcW w:w="4664" w:type="dxa"/>
            <w:vAlign w:val="center"/>
          </w:tcPr>
          <w:p w14:paraId="08FCEFB0" w14:textId="7786A737" w:rsidR="00D96FD9" w:rsidRPr="0014212C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FA8">
              <w:rPr>
                <w:rFonts w:ascii="Times New Roman" w:hAnsi="Times New Roman" w:cs="Times New Roman"/>
                <w:sz w:val="20"/>
                <w:szCs w:val="20"/>
              </w:rPr>
              <w:t>Başka merkezlerden/birimlerden alınan belgelerin</w:t>
            </w:r>
            <w:r w:rsidR="00096FA8" w:rsidRPr="00096FA8">
              <w:rPr>
                <w:rFonts w:ascii="Times New Roman" w:hAnsi="Times New Roman" w:cs="Times New Roman"/>
                <w:sz w:val="20"/>
                <w:szCs w:val="20"/>
              </w:rPr>
              <w:t xml:space="preserve"> (dil düzey belgesi, kabul belgesi, öğrenci belgesi vb.)</w:t>
            </w:r>
            <w:r w:rsidRPr="00096FA8">
              <w:rPr>
                <w:rFonts w:ascii="Times New Roman" w:hAnsi="Times New Roman" w:cs="Times New Roman"/>
                <w:sz w:val="20"/>
                <w:szCs w:val="20"/>
              </w:rPr>
              <w:t xml:space="preserve"> kabulüne ilişkin resmî belgeler</w:t>
            </w:r>
            <w:r w:rsidR="00096FA8">
              <w:rPr>
                <w:rFonts w:ascii="Times New Roman" w:hAnsi="Times New Roman" w:cs="Times New Roman"/>
                <w:sz w:val="20"/>
                <w:szCs w:val="20"/>
              </w:rPr>
              <w:t xml:space="preserve"> (yönerge, yönetmelik, yönetim kurulu kararı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71E9B9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42FB45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526E1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9FE8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A56A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8FF31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11380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43CA3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5545F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0E5A7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56687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220416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45DE" w14:textId="689E023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FD71EA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3D70D" w14:textId="77777777" w:rsidR="00D96FD9" w:rsidRPr="00532FF2" w:rsidRDefault="00D96FD9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B2AAB0" w14:textId="77777777" w:rsidR="00F537B7" w:rsidRDefault="00F537B7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8B0B83" w:rsidRPr="00797297" w14:paraId="10BD4773" w14:textId="77777777" w:rsidTr="006D5F0A">
        <w:tc>
          <w:tcPr>
            <w:tcW w:w="13994" w:type="dxa"/>
            <w:gridSpan w:val="3"/>
            <w:shd w:val="clear" w:color="auto" w:fill="17889B"/>
          </w:tcPr>
          <w:p w14:paraId="22CF9614" w14:textId="33E46BAA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8. Sürekli İyileştirme </w:t>
            </w:r>
          </w:p>
        </w:tc>
      </w:tr>
      <w:tr w:rsidR="008B0B83" w:rsidRPr="00797297" w14:paraId="40756CED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486AB382" w14:textId="5BC21490" w:rsidR="008B0B83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8.1. </w:t>
            </w:r>
            <w:r w:rsidR="008B0B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Geri bildirim</w:t>
            </w:r>
          </w:p>
        </w:tc>
      </w:tr>
      <w:tr w:rsidR="008B0B83" w:rsidRPr="00797297" w14:paraId="69760003" w14:textId="77777777" w:rsidTr="006D5F0A">
        <w:tc>
          <w:tcPr>
            <w:tcW w:w="4664" w:type="dxa"/>
            <w:shd w:val="clear" w:color="auto" w:fill="D6FDFF"/>
          </w:tcPr>
          <w:p w14:paraId="6FA35797" w14:textId="7AE56984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 Maddesi </w:t>
            </w:r>
          </w:p>
        </w:tc>
        <w:tc>
          <w:tcPr>
            <w:tcW w:w="4664" w:type="dxa"/>
            <w:shd w:val="clear" w:color="auto" w:fill="D6FDFF"/>
          </w:tcPr>
          <w:p w14:paraId="68642B46" w14:textId="03C8E3E4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65DCFA2A" w14:textId="3FBDCEF9" w:rsidR="008B0B83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8B0B83" w:rsidRPr="00797297" w14:paraId="148F2D05" w14:textId="77777777" w:rsidTr="006D5F0A">
        <w:trPr>
          <w:trHeight w:val="817"/>
        </w:trPr>
        <w:tc>
          <w:tcPr>
            <w:tcW w:w="4664" w:type="dxa"/>
            <w:vAlign w:val="center"/>
          </w:tcPr>
          <w:p w14:paraId="6EEB5C5D" w14:textId="1A6B802F" w:rsidR="008B0B83" w:rsidRPr="008B0B83" w:rsidRDefault="008B0B83" w:rsidP="003469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Merkez/birim; öğrenci, personel ve paydaşların öğrenme deneyimlerinin bütün yönleriyle ilgili geri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bildirim vermelerini sağlayan prosedürlere sahiptir ve bu geri bildirimler sürekli gelişimi sağlamak için kullanılır.</w:t>
            </w:r>
          </w:p>
        </w:tc>
        <w:tc>
          <w:tcPr>
            <w:tcW w:w="4664" w:type="dxa"/>
            <w:vAlign w:val="center"/>
          </w:tcPr>
          <w:p w14:paraId="137569E0" w14:textId="77777777" w:rsidR="008B0B83" w:rsidRDefault="008B0B83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Kalite ve strateji belgeleri</w:t>
            </w:r>
          </w:p>
          <w:p w14:paraId="6C9ADF37" w14:textId="50B5686F" w:rsidR="008B0B83" w:rsidRPr="0014212C" w:rsidRDefault="008B0B83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</w:t>
            </w:r>
            <w:r w:rsidR="0059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Değerlendirmeden sorumlu personelle </w:t>
            </w:r>
            <w:proofErr w:type="spellStart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yapılan</w:t>
            </w:r>
            <w:proofErr w:type="spellEnd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tutanakları</w:t>
            </w:r>
            <w:proofErr w:type="spellEnd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vb.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D99A6B1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FB9F3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BCA2A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5DBD0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CE92B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270C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D04B6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8D12D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BBC86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A783C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1AFBA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9C82F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9B73E" w14:textId="3A87037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9D79A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23606" w14:textId="77777777" w:rsidR="008B0B83" w:rsidRPr="00532FF2" w:rsidRDefault="008B0B83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19B208" w14:textId="77777777" w:rsidR="008B0B83" w:rsidRDefault="008B0B83"/>
    <w:tbl>
      <w:tblPr>
        <w:tblStyle w:val="TabloKlavuzu"/>
        <w:tblW w:w="0" w:type="auto"/>
        <w:tblBorders>
          <w:top w:val="single" w:sz="4" w:space="0" w:color="2EABAF"/>
          <w:left w:val="single" w:sz="4" w:space="0" w:color="2EABAF"/>
          <w:bottom w:val="single" w:sz="4" w:space="0" w:color="2EABAF"/>
          <w:right w:val="single" w:sz="4" w:space="0" w:color="2EABAF"/>
          <w:insideH w:val="single" w:sz="4" w:space="0" w:color="2EABAF"/>
          <w:insideV w:val="single" w:sz="4" w:space="0" w:color="2EABAF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8B0B83" w:rsidRPr="00797297" w14:paraId="433616CE" w14:textId="77777777" w:rsidTr="006D5F0A">
        <w:tc>
          <w:tcPr>
            <w:tcW w:w="13994" w:type="dxa"/>
            <w:gridSpan w:val="3"/>
            <w:shd w:val="clear" w:color="auto" w:fill="17889B"/>
          </w:tcPr>
          <w:p w14:paraId="2C39DF3E" w14:textId="77777777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C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8. Sürekli İyileştirme </w:t>
            </w:r>
          </w:p>
        </w:tc>
      </w:tr>
      <w:tr w:rsidR="008B0B83" w:rsidRPr="00797297" w14:paraId="1302B40F" w14:textId="77777777" w:rsidTr="006D5F0A">
        <w:trPr>
          <w:trHeight w:val="430"/>
        </w:trPr>
        <w:tc>
          <w:tcPr>
            <w:tcW w:w="13994" w:type="dxa"/>
            <w:gridSpan w:val="3"/>
            <w:shd w:val="clear" w:color="auto" w:fill="A2FEFF"/>
          </w:tcPr>
          <w:p w14:paraId="0D15A90B" w14:textId="20A17742" w:rsidR="008B0B83" w:rsidRPr="0014291B" w:rsidRDefault="009876C2" w:rsidP="005D4E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8.2. </w:t>
            </w:r>
            <w:r w:rsidR="008B0B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Süreçlerin değerlendirilmesi ve yenilenmesi</w:t>
            </w:r>
          </w:p>
        </w:tc>
      </w:tr>
      <w:tr w:rsidR="008B0B83" w:rsidRPr="00797297" w14:paraId="7AF36088" w14:textId="77777777" w:rsidTr="006D5F0A">
        <w:tc>
          <w:tcPr>
            <w:tcW w:w="4664" w:type="dxa"/>
            <w:shd w:val="clear" w:color="auto" w:fill="D6FDFF"/>
          </w:tcPr>
          <w:p w14:paraId="0B6523D7" w14:textId="2A7125E9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  <w:shd w:val="clear" w:color="auto" w:fill="D6FDFF"/>
          </w:tcPr>
          <w:p w14:paraId="421CA385" w14:textId="7EC8FB42" w:rsidR="008B0B83" w:rsidRPr="00F969F6" w:rsidRDefault="008B0B83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  <w:shd w:val="clear" w:color="auto" w:fill="D6FDFF"/>
          </w:tcPr>
          <w:p w14:paraId="5FB9EE2F" w14:textId="38FCFA9E" w:rsidR="008B0B83" w:rsidRPr="00F969F6" w:rsidRDefault="00346939" w:rsidP="005D4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8B0B83" w:rsidRPr="00797297" w14:paraId="3DF2C4BE" w14:textId="77777777" w:rsidTr="006D5F0A">
        <w:trPr>
          <w:trHeight w:val="817"/>
        </w:trPr>
        <w:tc>
          <w:tcPr>
            <w:tcW w:w="4664" w:type="dxa"/>
            <w:vAlign w:val="center"/>
          </w:tcPr>
          <w:p w14:paraId="65CB2AFA" w14:textId="30293C05" w:rsidR="008B0B83" w:rsidRPr="008B0B83" w:rsidRDefault="008B0B83" w:rsidP="003469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Değerlendirme, yansıtma ve eylem yoluyla kalite kültürünü ve öğrenci deneyimlerinin bütün yönlerini geliştirmek amacıyla sistem ve yöntemler vardır. Bu sistem ve yöntemler süreçlerin yenilenmesi için kullanılır.</w:t>
            </w:r>
          </w:p>
        </w:tc>
        <w:tc>
          <w:tcPr>
            <w:tcW w:w="4664" w:type="dxa"/>
            <w:vAlign w:val="center"/>
          </w:tcPr>
          <w:p w14:paraId="55B8E1D3" w14:textId="04E4F526" w:rsidR="008B0B83" w:rsidRPr="0014291B" w:rsidRDefault="008B0B83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iyileştirmeye ilişkin prosedürlerin bulunması (PUKÖ ‘Planla + Uygula +Kontrol et + Önlem al’ döngüsüne ilişkin iş ve işlemlere yönelik bilgi ve belgeler vb</w:t>
            </w:r>
            <w:r w:rsidR="0059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3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31E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B656A82" w14:textId="77777777" w:rsidTr="005D4EF5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47B08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0366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</w:r>
                  <w:r w:rsidR="002C06FB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7006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4AAB2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9A98B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CE0DB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948FAE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FCD33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E3109F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A58CA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2C06FB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CB3AE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CFF76" w14:textId="088A3E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D511D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C2C0D" w14:textId="77777777" w:rsidR="008B0B83" w:rsidRPr="00532FF2" w:rsidRDefault="008B0B83" w:rsidP="005D4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B8D3A2" w14:textId="169F2283" w:rsidR="00E2797C" w:rsidRDefault="00E2797C"/>
    <w:sectPr w:rsidR="00E2797C" w:rsidSect="00797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73B"/>
    <w:multiLevelType w:val="multilevel"/>
    <w:tmpl w:val="B5CE4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97"/>
    <w:rsid w:val="00082EAB"/>
    <w:rsid w:val="00094B23"/>
    <w:rsid w:val="00096FA8"/>
    <w:rsid w:val="000D0BCE"/>
    <w:rsid w:val="000E3B0D"/>
    <w:rsid w:val="000F016A"/>
    <w:rsid w:val="0011091B"/>
    <w:rsid w:val="001157E5"/>
    <w:rsid w:val="0012344C"/>
    <w:rsid w:val="0014212C"/>
    <w:rsid w:val="0014291B"/>
    <w:rsid w:val="00155B1A"/>
    <w:rsid w:val="00191397"/>
    <w:rsid w:val="001A1B92"/>
    <w:rsid w:val="001C1A4E"/>
    <w:rsid w:val="002C06FB"/>
    <w:rsid w:val="003455EF"/>
    <w:rsid w:val="00346939"/>
    <w:rsid w:val="003D4A98"/>
    <w:rsid w:val="004564C8"/>
    <w:rsid w:val="00460103"/>
    <w:rsid w:val="00532FF2"/>
    <w:rsid w:val="00593628"/>
    <w:rsid w:val="005B13C1"/>
    <w:rsid w:val="005D4EF5"/>
    <w:rsid w:val="005F3EF5"/>
    <w:rsid w:val="005F644E"/>
    <w:rsid w:val="00612A24"/>
    <w:rsid w:val="00651942"/>
    <w:rsid w:val="00683E12"/>
    <w:rsid w:val="006A0C8B"/>
    <w:rsid w:val="006D5F0A"/>
    <w:rsid w:val="00797297"/>
    <w:rsid w:val="007A5E63"/>
    <w:rsid w:val="007E46D9"/>
    <w:rsid w:val="0086634C"/>
    <w:rsid w:val="00883879"/>
    <w:rsid w:val="008B0B83"/>
    <w:rsid w:val="008C5F09"/>
    <w:rsid w:val="008D7FAC"/>
    <w:rsid w:val="008F59ED"/>
    <w:rsid w:val="009876C2"/>
    <w:rsid w:val="00987FF9"/>
    <w:rsid w:val="009A685D"/>
    <w:rsid w:val="009E7E02"/>
    <w:rsid w:val="00AE2CE6"/>
    <w:rsid w:val="00BD0959"/>
    <w:rsid w:val="00C20E22"/>
    <w:rsid w:val="00C46386"/>
    <w:rsid w:val="00C56ACB"/>
    <w:rsid w:val="00C66C28"/>
    <w:rsid w:val="00CD6890"/>
    <w:rsid w:val="00D6142A"/>
    <w:rsid w:val="00D7111F"/>
    <w:rsid w:val="00D96FD9"/>
    <w:rsid w:val="00DC74F7"/>
    <w:rsid w:val="00DD153F"/>
    <w:rsid w:val="00DD380E"/>
    <w:rsid w:val="00DF10E3"/>
    <w:rsid w:val="00E24478"/>
    <w:rsid w:val="00E2797C"/>
    <w:rsid w:val="00E35005"/>
    <w:rsid w:val="00E8206D"/>
    <w:rsid w:val="00ED4626"/>
    <w:rsid w:val="00ED7F43"/>
    <w:rsid w:val="00F11899"/>
    <w:rsid w:val="00F14419"/>
    <w:rsid w:val="00F537B7"/>
    <w:rsid w:val="00F969F6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5BBC"/>
  <w15:chartTrackingRefBased/>
  <w15:docId w15:val="{C2694D2A-1D9A-7749-812F-F2F07B3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2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2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2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2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2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2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72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72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72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72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72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9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21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</cp:lastModifiedBy>
  <cp:revision>82</cp:revision>
  <dcterms:created xsi:type="dcterms:W3CDTF">2024-08-09T18:51:00Z</dcterms:created>
  <dcterms:modified xsi:type="dcterms:W3CDTF">2025-07-03T13:54:00Z</dcterms:modified>
</cp:coreProperties>
</file>